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康乃馨公司五栋、八栋网络建设项目公开</w:t>
      </w:r>
      <w:r>
        <w:rPr>
          <w:rFonts w:hint="eastAsia" w:ascii="方正小标宋简体" w:hAnsi="方正小标宋简体" w:eastAsia="方正小标宋简体" w:cs="方正小标宋简体"/>
          <w:sz w:val="32"/>
          <w:szCs w:val="32"/>
          <w:lang w:val="en-US" w:eastAsia="zh-CN"/>
        </w:rPr>
        <w:t>招标结果公告</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一、项目名称：康乃馨公司五栋、八栋网络建设项目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二、项目编号：KNX-ZB-20220603代理编号：HNSPMH-CG2022-008</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三、中标信息</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Style w:val="8"/>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中标供应商名称</w:t>
      </w:r>
      <w:r>
        <w:rPr>
          <w:rFonts w:hint="eastAsia" w:ascii="宋体" w:hAnsi="宋体" w:eastAsia="宋体" w:cs="宋体"/>
          <w:b w:val="0"/>
          <w:bCs w:val="0"/>
          <w:i w:val="0"/>
          <w:iCs w:val="0"/>
          <w:caps w:val="0"/>
          <w:color w:val="000000"/>
          <w:spacing w:val="0"/>
          <w:sz w:val="21"/>
          <w:szCs w:val="21"/>
          <w:shd w:val="clear" w:fill="FFFFFF"/>
          <w:lang w:eastAsia="zh-CN"/>
        </w:rPr>
        <w:t>：</w:t>
      </w:r>
      <w:r>
        <w:rPr>
          <w:rStyle w:val="8"/>
          <w:rFonts w:hint="eastAsia" w:ascii="宋体" w:hAnsi="宋体" w:eastAsia="宋体" w:cs="宋体"/>
          <w:b w:val="0"/>
          <w:bCs w:val="0"/>
          <w:color w:val="000000"/>
          <w:sz w:val="21"/>
          <w:szCs w:val="21"/>
        </w:rPr>
        <w:t>湖南省邮电规</w:t>
      </w:r>
      <w:bookmarkStart w:id="0" w:name="_GoBack"/>
      <w:bookmarkEnd w:id="0"/>
      <w:r>
        <w:rPr>
          <w:rStyle w:val="8"/>
          <w:rFonts w:hint="eastAsia" w:ascii="宋体" w:hAnsi="宋体" w:eastAsia="宋体" w:cs="宋体"/>
          <w:b w:val="0"/>
          <w:bCs w:val="0"/>
          <w:color w:val="000000"/>
          <w:sz w:val="21"/>
          <w:szCs w:val="21"/>
        </w:rPr>
        <w:t>划设计院有限公司</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Style w:val="8"/>
          <w:rFonts w:hint="eastAsia" w:ascii="宋体" w:hAnsi="宋体" w:eastAsia="宋体" w:cs="宋体"/>
          <w:b w:val="0"/>
          <w:bCs w:val="0"/>
          <w:color w:val="000000"/>
          <w:sz w:val="21"/>
          <w:szCs w:val="21"/>
        </w:rPr>
      </w:pPr>
      <w:r>
        <w:rPr>
          <w:rFonts w:hint="eastAsia" w:ascii="宋体" w:hAnsi="宋体" w:eastAsia="宋体" w:cs="宋体"/>
          <w:b w:val="0"/>
          <w:bCs w:val="0"/>
          <w:i w:val="0"/>
          <w:iCs w:val="0"/>
          <w:caps w:val="0"/>
          <w:color w:val="000000"/>
          <w:spacing w:val="0"/>
          <w:sz w:val="21"/>
          <w:szCs w:val="21"/>
          <w:shd w:val="clear" w:fill="FFFFFF"/>
        </w:rPr>
        <w:t>地址</w:t>
      </w:r>
      <w:r>
        <w:rPr>
          <w:rFonts w:hint="eastAsia" w:ascii="宋体" w:hAnsi="宋体" w:eastAsia="宋体" w:cs="宋体"/>
          <w:b w:val="0"/>
          <w:bCs w:val="0"/>
          <w:i w:val="0"/>
          <w:iCs w:val="0"/>
          <w:caps w:val="0"/>
          <w:color w:val="000000"/>
          <w:spacing w:val="0"/>
          <w:sz w:val="21"/>
          <w:szCs w:val="21"/>
          <w:shd w:val="clear" w:fill="FFFFFF"/>
          <w:lang w:eastAsia="zh-CN"/>
        </w:rPr>
        <w:t>：</w:t>
      </w:r>
      <w:r>
        <w:rPr>
          <w:rStyle w:val="8"/>
          <w:rFonts w:hint="eastAsia" w:ascii="宋体" w:hAnsi="宋体" w:eastAsia="宋体" w:cs="宋体"/>
          <w:b w:val="0"/>
          <w:bCs w:val="0"/>
          <w:color w:val="000000"/>
          <w:sz w:val="21"/>
          <w:szCs w:val="21"/>
        </w:rPr>
        <w:t>长沙市芙蓉区隆平科技园远大二路236号天园研发基地7层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Style w:val="8"/>
          <w:rFonts w:hint="eastAsia" w:ascii="宋体" w:hAnsi="宋体" w:eastAsia="宋体" w:cs="宋体"/>
          <w:b w:val="0"/>
          <w:bCs w:val="0"/>
          <w:color w:val="000000"/>
          <w:sz w:val="21"/>
          <w:szCs w:val="21"/>
          <w:lang w:val="en-US" w:eastAsia="zh-CN"/>
        </w:rPr>
      </w:pPr>
      <w:r>
        <w:rPr>
          <w:rFonts w:hint="eastAsia" w:ascii="宋体" w:hAnsi="宋体" w:eastAsia="宋体" w:cs="宋体"/>
          <w:b w:val="0"/>
          <w:bCs w:val="0"/>
          <w:i w:val="0"/>
          <w:iCs w:val="0"/>
          <w:caps w:val="0"/>
          <w:color w:val="000000"/>
          <w:spacing w:val="0"/>
          <w:sz w:val="21"/>
          <w:szCs w:val="21"/>
          <w:shd w:val="clear" w:fill="FFFFFF"/>
        </w:rPr>
        <w:t>中标价格（元）</w:t>
      </w:r>
      <w:r>
        <w:rPr>
          <w:rFonts w:hint="eastAsia" w:ascii="宋体" w:hAnsi="宋体" w:eastAsia="宋体" w:cs="宋体"/>
          <w:b w:val="0"/>
          <w:bCs w:val="0"/>
          <w:i w:val="0"/>
          <w:iCs w:val="0"/>
          <w:caps w:val="0"/>
          <w:color w:val="000000"/>
          <w:spacing w:val="0"/>
          <w:sz w:val="21"/>
          <w:szCs w:val="21"/>
          <w:shd w:val="clear" w:fill="FFFFFF"/>
          <w:lang w:eastAsia="zh-CN"/>
        </w:rPr>
        <w:t>：</w:t>
      </w:r>
      <w:r>
        <w:rPr>
          <w:rStyle w:val="8"/>
          <w:rFonts w:hint="eastAsia" w:ascii="宋体" w:hAnsi="宋体" w:eastAsia="宋体" w:cs="宋体"/>
          <w:b w:val="0"/>
          <w:bCs w:val="0"/>
          <w:color w:val="000000"/>
          <w:sz w:val="21"/>
          <w:szCs w:val="21"/>
        </w:rPr>
        <w:t>人民币陆拾叁万玖仟捌佰伍拾贰元整（</w:t>
      </w:r>
      <w:r>
        <w:rPr>
          <w:rFonts w:hint="eastAsia" w:ascii="宋体" w:hAnsi="宋体" w:eastAsia="宋体" w:cs="宋体"/>
          <w:b w:val="0"/>
          <w:bCs w:val="0"/>
          <w:kern w:val="0"/>
          <w:sz w:val="21"/>
          <w:szCs w:val="21"/>
        </w:rPr>
        <w:t>¥</w:t>
      </w:r>
      <w:r>
        <w:rPr>
          <w:rStyle w:val="8"/>
          <w:rFonts w:hint="eastAsia" w:ascii="宋体" w:hAnsi="宋体" w:eastAsia="宋体" w:cs="宋体"/>
          <w:b w:val="0"/>
          <w:bCs w:val="0"/>
          <w:color w:val="000000"/>
          <w:sz w:val="21"/>
          <w:szCs w:val="21"/>
        </w:rPr>
        <w:t>639852.00</w:t>
      </w:r>
      <w:r>
        <w:rPr>
          <w:rStyle w:val="8"/>
          <w:rFonts w:hint="eastAsia" w:ascii="宋体" w:hAnsi="宋体" w:eastAsia="宋体" w:cs="宋体"/>
          <w:b w:val="0"/>
          <w:bCs w:val="0"/>
          <w:color w:val="000000"/>
          <w:sz w:val="21"/>
          <w:szCs w:val="21"/>
          <w:lang w:val="en-US"/>
        </w:rPr>
        <w:t>元</w:t>
      </w:r>
      <w:r>
        <w:rPr>
          <w:rStyle w:val="8"/>
          <w:rFonts w:hint="eastAsia" w:ascii="宋体" w:hAnsi="宋体" w:eastAsia="宋体" w:cs="宋体"/>
          <w:b w:val="0"/>
          <w:bCs w:val="0"/>
          <w:color w:val="000000"/>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四、主要标的信息</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1"/>
        <w:gridCol w:w="1021"/>
        <w:gridCol w:w="4346"/>
        <w:gridCol w:w="512"/>
        <w:gridCol w:w="1062"/>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序号</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货物名称</w:t>
            </w:r>
          </w:p>
        </w:tc>
        <w:tc>
          <w:tcPr>
            <w:tcW w:w="254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lang w:val="en-US" w:eastAsia="zh-CN"/>
              </w:rPr>
              <w:t>品牌、规格型号、</w:t>
            </w:r>
            <w:r>
              <w:rPr>
                <w:rFonts w:hint="eastAsia" w:ascii="宋体" w:hAnsi="宋体" w:eastAsia="宋体" w:cs="宋体"/>
                <w:b/>
                <w:bCs/>
                <w:kern w:val="0"/>
                <w:sz w:val="18"/>
                <w:szCs w:val="18"/>
              </w:rPr>
              <w:t>投标货物参数</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数量</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单价（人民币元）</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小计（人民币元）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吸顶无线AP</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品牌：华为；型号：AirEngine 5762-12；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1、支持802.11ax标准，整机用户接入数：256，总空间流数：4；整机速率：2.975Gbps；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2、千兆电口：1，支持内置智能天线，支持内置蓝牙5.0，可用于蓝牙定位；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3、支持WPA3，提供Wi-Fi联盟WPA3的认证证明；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4、支持leader AP，无需WAC可小型组网，提供产品手册复印件证明；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5、无频谱分析功能；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6、支持CAPWAP数据通道的DTLS硬件加密；</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121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1510.00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182710.00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千兆24口POE交换机</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品牌：华为；型号：FutureMatrix S5735-L24P4S；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1、交换容量336Gbps；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2、包转发率51Mpps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3、固定端口24个千兆电口，4个千兆SFP；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4、支持802.3at POE+功能；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5、支持RIP、RIPng、OSPF、OSPFv3路由协议；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6、支持以太网环网保护协议ERPS，故障倒换时间小于50ms</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6</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3580.00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21480.00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千兆光模块</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品牌：华为；型号：SFP-GE-LX-SM1310；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SFP千兆光模块-单模</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650.00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吸顶无线AP</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品牌：华为；型号：AirEngine 5762-12；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1、支持802.11ax标准，整机用户接入数：256，总空间流数：4；整机速率：2.975Gbps；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2、千兆电口：1，支持内置智能天线，支持内置蓝牙5.0，可用于蓝牙定位；</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3、支持WPA3，提供Wi-Fi联盟WPA3的认证证明；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4、支持leader AP，无需WAC可小型组网，提供产品手册复印件证明；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5、无频谱分析功能；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6、支持CAPWAP数据通道的DTLS硬件加密；</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79</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1510.00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119290.00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千兆24口POE交换机</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品牌：华为；型号：FutureMatrix S5735-L24P4S；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1、交换容量336Gbps；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2、包转发率51Mpps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3、固定端口24个千兆电口，4个千兆SFP；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4、支持802.3at POE+功能；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5、支持RIP、RIPng、OSPF、OSPFv3路由协议；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6、支持以太网环网保护协议ERPS，故障倒换时间小于50ms</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3580.00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14320.00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6</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千兆光模块</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品牌：华为；型号：SFP-GE-LX-SM1310；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SFP千兆光模块-单模</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650.00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1300.00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无线控制器AC</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品牌：华为；型号：AirEngine 9700-M1；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1、单台AC最大管理AP数量：2048，单台AC最大接入用户数量：32768；提供官网链接和截图；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2、三层转发吞吐量120Gbps，40GE接口：2个，万兆接口：12个，千兆电口：12个；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3、支持静态路由，RIP-1/RIP-2，OSPF，BGP，IS-IS，路由策略、策略路由，须提供官网彩页截图证明；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4、支持广域认证逃生，在CAPWAP链路</w:t>
            </w:r>
            <w:r>
              <w:rPr>
                <w:rFonts w:hint="eastAsia" w:ascii="Batang" w:hAnsi="Batang" w:eastAsia="Batang" w:cs="Batang"/>
                <w:color w:val="000000"/>
                <w:kern w:val="0"/>
                <w:sz w:val="20"/>
                <w:szCs w:val="20"/>
              </w:rPr>
              <w:t>路</w:t>
            </w:r>
            <w:r>
              <w:rPr>
                <w:rFonts w:hint="eastAsia" w:ascii="宋体" w:hAnsi="宋体" w:cs="宋体"/>
                <w:color w:val="000000"/>
                <w:kern w:val="0"/>
                <w:sz w:val="20"/>
                <w:szCs w:val="20"/>
              </w:rPr>
              <w:t>故障后，MAC 或者 802.1x 认证逃</w:t>
            </w:r>
            <w:r>
              <w:rPr>
                <w:rFonts w:hint="eastAsia" w:ascii="Meiryo" w:hAnsi="Meiryo" w:eastAsia="Meiryo" w:cs="Meiryo"/>
                <w:color w:val="000000"/>
                <w:kern w:val="0"/>
                <w:sz w:val="20"/>
                <w:szCs w:val="20"/>
              </w:rPr>
              <w:t>⽣</w:t>
            </w:r>
            <w:r>
              <w:rPr>
                <w:rFonts w:hint="eastAsia" w:ascii="宋体" w:hAnsi="宋体" w:cs="宋体"/>
                <w:color w:val="000000"/>
                <w:kern w:val="0"/>
                <w:sz w:val="20"/>
                <w:szCs w:val="20"/>
              </w:rPr>
              <w:t>到本地认证，提供权威第三方机构测试报告复印件证明；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5、支持智能升级，自动从云端下载最新软件，按照计划升级，提供权威第三方机构测试报告复印件证明；</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50000.00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50000.00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8</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无线AP接入控制授权</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品牌：华为；型号：AirEngine无线接入控制器AP资源授权；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新增授权，按套购买，每套含64个AP授权</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10600.00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42400.00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9</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无线控制器AC（利旧）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利旧AC6605-26-PWR无线控制器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无线AP接入控制授权（利旧）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利旧AC6605-26-PWR无线控制器自带的位管理授权</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256</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无线AP安装调试费用</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品牌：国产；型号：定制；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安装调试</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200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室外24芯单模光纤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低水峰单模24芯室外防雷单模光纤（9µm/125）；</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800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11.00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室外地面开挖回填</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品牌：国产；型号：现场施工；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室外地面开挖回填，普通土，30*30cm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14</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室外路面开挖修复</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品牌：国产；型号：现场施工；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室外路面开挖修复，混凝土，30*30cm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15</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电缆保护管 </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品牌：国产；型号：定制；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PVC管 Φ25</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7.00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16</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室外手井</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品牌：国产；型号：现场施工；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600*600手井</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1550.00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24芯光纤配线架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满配LC双工耦合器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18</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144芯光纤配线架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满配LC双工耦合器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1900.00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19</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单模光纤尾纤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LC单模单芯尾纤</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144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2160.00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光纤单模跳线</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LC-LC单模双芯跳线</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36</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35.00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机柜</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12U机柜，支持落地安装、壁挂安装</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非屏蔽六类网线</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六类非屏蔽双绞线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24AWG，频率≥250MHz，中心十字骨架</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非屏蔽六类24口配线架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24口非屏蔽配线架，满配六类模块</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6</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4800.00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非屏蔽六类跳线（利旧）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跳线长度1M-1.5M，利旧原有跳线</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121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25</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室内单模12芯光纤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室内单模12芯光纤</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26</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24芯光纤配线架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满配LC双工耦合器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780.00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单模光纤尾纤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LC单模单芯尾纤</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288.00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28</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光纤单模跳线（利旧）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LC-LC单模双芯跳线，利旧原有跳线</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15</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29</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镀锌桥架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50*100mm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440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PVC线管</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φ16</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PVC线槽</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20mm*10mm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363</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2178.00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机柜</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12U机柜，支持落地安装、壁挂安装</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辅材</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六类水晶头、底盒、接线盒、扎带、压线钳、测线仪、五金工具等</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34</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非屏蔽六类网线</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六类非屏蔽双绞线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24AWG，频率≥250MHz，中心十字骨架</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8</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7200.00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35</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非屏蔽六类24口配线架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24口非屏蔽配线架，满配六类模块</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3200.00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36</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非屏蔽六类跳线（利旧）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跳线长度1M-1.5M，利旧原有跳线</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79</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室内单模12芯光纤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室内单模12芯光纤</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320.00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38</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24芯光纤配线架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满配LC双工耦合器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780.00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1560.00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39</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单模光纤尾纤</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LC单模单芯尾纤</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288.00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光纤单模跳线（利旧）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LC-LC单模双芯跳线，利旧原有跳线</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镀锌桥架</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50*100mm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650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13000.00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PVC线管</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φ16</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158</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5.00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790.00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PVC线槽</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20mm*10mm</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237</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1422.00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44</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落地机柜</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12U落地机柜</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900.00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45</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辅材</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品牌：国产；型号：优质；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六类水晶头、底盒、接线盒、扎带、压线钳、测线仪、五金工具等</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800.00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46</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综合布线安装测试</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品牌：国产；型号：现场施工；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综合布线设备、管线敷设及安装调试费用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200</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20000.00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47</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光纤熔接</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品牌：国产；型号：现场施工；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光纤熔接</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192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13.00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2496.00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48</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内网汇聚交换机</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品牌：华为；型号：FutureMatrix S5736-S24T4XC；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1、交换容量1.28Tbps;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2、包转发率216Mpps；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3、固定端口24个千兆光口，4个万兆SFP+；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4、支持静态路由、RIP v1/v2、OSPF、BGP、ISIS、RIPng、OSPFv3、ISISv6、BGP4+；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5、支持以太网环网保护协议ERPS，故障倒换时间小于50ms；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6、支持纵向虚拟化，作为纵向子节点零配置即插即用。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49</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千兆光模块（利旧）</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品牌：国产；型号：利旧；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利旧原有SFP千兆光模块-单模</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6</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50</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外网汇聚交换机</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品牌：华为；型号：FutureMatrix S5736-S48T4XC；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1、交换容量1.28Tbps;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2、包转发率252Mpps；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3、固定端口48个千兆光口，4个万兆SFP+；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4、支持静态路由、RIP v1/v2、OSPF、BGP、ISIS、RIPng、OSPFv3、ISISv6、BGP4+；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5、支持以太网环网保护协议ERPS，故障倒换时间小于50ms；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6、支持纵向虚拟化，作为纵向子节点零配置即插即用。</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21000.00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21000.00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51</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千兆光模块</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品牌：华为；型号：SFP-GE-LX-SM1310；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SFP千兆光模块-单模</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24</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650.00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15600.00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52</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万兆光模块</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品牌：华为；型号：OMXD30000；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SFP+万兆光模块-单模</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2</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1200.00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2400.00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235"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53</w:t>
            </w:r>
          </w:p>
        </w:tc>
        <w:tc>
          <w:tcPr>
            <w:tcW w:w="5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园区网络规划与优化调整</w:t>
            </w:r>
          </w:p>
        </w:tc>
        <w:tc>
          <w:tcPr>
            <w:tcW w:w="434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宋体" w:hAnsi="宋体" w:eastAsia="宋体" w:cs="宋体"/>
                <w:kern w:val="0"/>
                <w:sz w:val="20"/>
                <w:szCs w:val="20"/>
              </w:rPr>
            </w:pPr>
            <w:r>
              <w:rPr>
                <w:rFonts w:hint="eastAsia" w:ascii="宋体" w:hAnsi="宋体" w:cs="宋体"/>
                <w:color w:val="000000"/>
                <w:kern w:val="0"/>
                <w:sz w:val="20"/>
                <w:szCs w:val="20"/>
              </w:rPr>
              <w:t>品牌：国产；型号：定制服务；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5、6、8栋原有网络系统拓扑进行分区调整优化，分网分段做系统与IP规划，原有部分网络设备进行优化配置调整，重新布局调试。新增网络节点及线路的图上补充配置记录、园区网络系统的出图上墙、网络设备的维护日志，并进行配置备份，使得整个信息网络性能达到最优水平。</w:t>
            </w:r>
          </w:p>
        </w:tc>
        <w:tc>
          <w:tcPr>
            <w:tcW w:w="29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1</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18050.00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kern w:val="0"/>
                <w:sz w:val="18"/>
                <w:szCs w:val="18"/>
              </w:rPr>
            </w:pPr>
            <w:r>
              <w:rPr>
                <w:rFonts w:hint="eastAsia" w:ascii="宋体" w:hAnsi="宋体" w:eastAsia="宋体" w:cs="宋体"/>
                <w:kern w:val="0"/>
                <w:sz w:val="18"/>
                <w:szCs w:val="18"/>
              </w:rPr>
              <w:t xml:space="preserve">18050.00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3683" w:type="pct"/>
            <w:gridSpan w:val="4"/>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合计</w:t>
            </w:r>
          </w:p>
        </w:tc>
        <w:tc>
          <w:tcPr>
            <w:tcW w:w="623"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692"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宋体" w:hAnsi="宋体" w:eastAsia="宋体" w:cs="宋体"/>
                <w:b/>
                <w:bCs/>
                <w:kern w:val="0"/>
                <w:sz w:val="18"/>
                <w:szCs w:val="18"/>
              </w:rPr>
            </w:pPr>
            <w:r>
              <w:rPr>
                <w:rFonts w:hint="eastAsia" w:ascii="宋体" w:hAnsi="宋体" w:eastAsia="宋体" w:cs="宋体"/>
                <w:b/>
                <w:bCs/>
                <w:kern w:val="0"/>
                <w:sz w:val="18"/>
                <w:szCs w:val="18"/>
              </w:rPr>
              <w:t xml:space="preserve">639852.00 </w:t>
            </w:r>
          </w:p>
        </w:tc>
      </w:tr>
    </w:tbl>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五、评审专家名单</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何智勇（主任）、苏维、黄晟、孙谦、熊猛</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六、中标候选（前三名）评审结果</w:t>
      </w:r>
    </w:p>
    <w:tbl>
      <w:tblPr>
        <w:tblStyle w:val="6"/>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872"/>
        <w:gridCol w:w="461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jc w:val="center"/>
        </w:trPr>
        <w:tc>
          <w:tcPr>
            <w:tcW w:w="1872" w:type="dxa"/>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排序</w:t>
            </w:r>
          </w:p>
        </w:tc>
        <w:tc>
          <w:tcPr>
            <w:tcW w:w="4611" w:type="dxa"/>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候选人名称</w:t>
            </w:r>
          </w:p>
        </w:tc>
        <w:tc>
          <w:tcPr>
            <w:tcW w:w="1968" w:type="dxa"/>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aps w:val="0"/>
                <w:color w:val="000000"/>
                <w:spacing w:val="0"/>
                <w:kern w:val="0"/>
                <w:sz w:val="21"/>
                <w:szCs w:val="21"/>
                <w:lang w:val="en-US" w:eastAsia="zh-CN" w:bidi="ar"/>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第一名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湖南省邮电规划设计院有限公司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44"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第二名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湖南顺锦智能科技有限公司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63.51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58" w:hRule="atLeast"/>
          <w:jc w:val="center"/>
        </w:trPr>
        <w:tc>
          <w:tcPr>
            <w:tcW w:w="18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第三名</w:t>
            </w:r>
          </w:p>
        </w:tc>
        <w:tc>
          <w:tcPr>
            <w:tcW w:w="461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湖南千百年机房设备工程有限公司</w:t>
            </w:r>
          </w:p>
        </w:tc>
        <w:tc>
          <w:tcPr>
            <w:tcW w:w="19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1"/>
                <w:szCs w:val="21"/>
                <w:u w:val="none"/>
                <w:vertAlign w:val="baseline"/>
                <w:lang w:val="en-US" w:eastAsia="zh-CN" w:bidi="ar"/>
              </w:rPr>
            </w:pPr>
            <w:r>
              <w:rPr>
                <w:rFonts w:hint="eastAsia" w:ascii="宋体" w:hAnsi="宋体" w:eastAsia="宋体" w:cs="宋体"/>
                <w:i w:val="0"/>
                <w:iCs w:val="0"/>
                <w:color w:val="000000"/>
                <w:kern w:val="0"/>
                <w:sz w:val="21"/>
                <w:szCs w:val="21"/>
                <w:u w:val="none"/>
                <w:vertAlign w:val="baseline"/>
                <w:lang w:val="en-US" w:eastAsia="zh-CN" w:bidi="ar"/>
              </w:rPr>
              <w:t>62.95</w:t>
            </w:r>
          </w:p>
        </w:tc>
      </w:tr>
    </w:tbl>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七、资格审查不通过的投标供应商名称、原因和依据</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八、代理服务收费标准及金额</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由采购人与代理机构协商确定8775.00元。</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九、公告期限</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本公告期限为1个工作日。</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已参与本项目采购活动的供应商认为该中标结果和采购过程等使自己的权益受到损害的，可以自本公告期限届满之日（自本公告发布之日起至第2个工作日止）起7个工作日内，以书面形式向采购人、采购代理机构提出质疑。质疑供应商对采购人、采购代理机构的答复不满意或者采购人、采购代理机构未在规定的时间内作出答复的，可以在答复期满后15个工作日内向监督管理部门投诉。</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十、其他补充事宜</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十一、凡对本次公告内容提出询问，请按以下方式联系</w:t>
      </w:r>
    </w:p>
    <w:p>
      <w:pPr>
        <w:keepNext w:val="0"/>
        <w:keepLines w:val="0"/>
        <w:pageBreakBefore w:val="0"/>
        <w:widowControl w:val="0"/>
        <w:shd w:val="clea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 标 人：长沙市康乃馨老年呵护中心</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地    址：长沙市望城区月亮岛街道银星路二段599号康乃馨公司新1栋4楼</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联 系 人：黄主任</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电    话：17773110082</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招标代理机构：湖南省拍卖行有限责任公司</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地    址：长沙市开福区芙蓉中路1段2号华悦大酒店西门5楼</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联 系 人：范经理</w:t>
      </w:r>
    </w:p>
    <w:p>
      <w:pPr>
        <w:pStyle w:val="2"/>
        <w:shd w:val="clear"/>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000000"/>
          <w:spacing w:val="0"/>
          <w:w w:val="100"/>
          <w:sz w:val="21"/>
          <w:szCs w:val="18"/>
          <w:lang w:val="en-US" w:eastAsia="zh-CN"/>
        </w:rPr>
      </w:pPr>
      <w:r>
        <w:rPr>
          <w:rStyle w:val="8"/>
          <w:rFonts w:ascii="宋体" w:hAnsi="宋体" w:eastAsia="宋体" w:cs="宋体"/>
          <w:b w:val="0"/>
          <w:bCs/>
          <w:i w:val="0"/>
          <w:caps w:val="0"/>
          <w:color w:val="000000"/>
          <w:spacing w:val="0"/>
          <w:w w:val="100"/>
          <w:sz w:val="21"/>
          <w:szCs w:val="18"/>
          <w:lang w:val="en-US" w:eastAsia="zh-CN"/>
        </w:rPr>
        <w:t>电    话：18075577555  0731-85453328</w:t>
      </w:r>
    </w:p>
    <w:p>
      <w:pPr>
        <w:pStyle w:val="2"/>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监督部门：湖南康乃馨养老产业投资置业有限公司纪检部门</w:t>
      </w:r>
    </w:p>
    <w:p>
      <w:pPr>
        <w:pStyle w:val="2"/>
        <w:snapToGrid w:val="0"/>
        <w:spacing w:before="0" w:beforeAutospacing="0" w:after="0" w:afterAutospacing="0" w:line="360" w:lineRule="auto"/>
        <w:ind w:firstLine="420" w:firstLineChars="200"/>
        <w:jc w:val="both"/>
        <w:textAlignment w:val="baseline"/>
        <w:rPr>
          <w:rStyle w:val="8"/>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地    址：长沙市望城区月亮岛街道银星路二段599号</w:t>
      </w:r>
    </w:p>
    <w:p>
      <w:pPr>
        <w:keepNext w:val="0"/>
        <w:keepLines w:val="0"/>
        <w:pageBreakBefore w:val="0"/>
        <w:widowControl/>
        <w:suppressLineNumbers w:val="0"/>
        <w:kinsoku/>
        <w:wordWrap/>
        <w:overflowPunct/>
        <w:topLinePunct w:val="0"/>
        <w:autoSpaceDE/>
        <w:autoSpaceDN/>
        <w:bidi w:val="0"/>
        <w:spacing w:line="240" w:lineRule="auto"/>
        <w:ind w:firstLine="420" w:firstLineChars="200"/>
        <w:jc w:val="left"/>
        <w:textAlignment w:val="auto"/>
        <w:rPr>
          <w:rFonts w:hint="default" w:ascii="宋体" w:hAnsi="宋体" w:eastAsia="宋体" w:cs="宋体"/>
          <w:b/>
          <w:bCs/>
          <w:i w:val="0"/>
          <w:iCs w:val="0"/>
          <w:caps w:val="0"/>
          <w:color w:val="000000"/>
          <w:spacing w:val="0"/>
          <w:kern w:val="0"/>
          <w:sz w:val="21"/>
          <w:szCs w:val="21"/>
          <w:bdr w:val="none" w:color="auto" w:sz="0" w:space="0"/>
          <w:shd w:val="clear" w:fill="FEFFFF"/>
          <w:lang w:val="en-US" w:eastAsia="zh-CN" w:bidi="ar"/>
        </w:rPr>
      </w:pPr>
      <w:r>
        <w:rPr>
          <w:rFonts w:ascii="宋体" w:hAnsi="宋体" w:eastAsia="宋体" w:cs="宋体"/>
          <w:b w:val="0"/>
          <w:i w:val="0"/>
          <w:caps w:val="0"/>
          <w:color w:val="000000"/>
          <w:spacing w:val="0"/>
          <w:w w:val="100"/>
          <w:sz w:val="21"/>
          <w:highlight w:val="none"/>
        </w:rPr>
        <w:t>联系电话：0731-88236061</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eiryo">
    <w:altName w:val="Yu Gothic UI"/>
    <w:panose1 w:val="020B0604030504040204"/>
    <w:charset w:val="80"/>
    <w:family w:val="swiss"/>
    <w:pitch w:val="default"/>
    <w:sig w:usb0="00000000" w:usb1="00000000" w:usb2="00010012" w:usb3="00000000" w:csb0="0002009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ZmIzM2U0ZWY5NmFlMjI3MTQzMGY4NjMwM2VmYzIifQ=="/>
  </w:docVars>
  <w:rsids>
    <w:rsidRoot w:val="06F10D69"/>
    <w:rsid w:val="06F10D69"/>
    <w:rsid w:val="20893CB3"/>
    <w:rsid w:val="22304C18"/>
    <w:rsid w:val="46393874"/>
    <w:rsid w:val="4DC73975"/>
    <w:rsid w:val="57FD1425"/>
    <w:rsid w:val="60727D68"/>
    <w:rsid w:val="62020381"/>
    <w:rsid w:val="6AAA5208"/>
    <w:rsid w:val="72401BD5"/>
    <w:rsid w:val="76E71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2"/>
    <w:basedOn w:val="3"/>
    <w:uiPriority w:val="0"/>
    <w:pPr>
      <w:spacing w:line="312" w:lineRule="atLeast"/>
      <w:ind w:firstLine="420" w:firstLineChars="200"/>
      <w:jc w:val="both"/>
      <w:textAlignment w:val="baseline"/>
    </w:pPr>
  </w:style>
  <w:style w:type="paragraph" w:customStyle="1" w:styleId="3">
    <w:name w:val="BodyTextIndent"/>
    <w:basedOn w:val="1"/>
    <w:uiPriority w:val="0"/>
    <w:pPr>
      <w:spacing w:line="312" w:lineRule="atLeast"/>
      <w:ind w:firstLine="444"/>
      <w:jc w:val="both"/>
      <w:textAlignment w:val="baseline"/>
    </w:pPr>
    <w:rPr>
      <w:b/>
      <w:sz w:val="24"/>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873</Words>
  <Characters>948</Characters>
  <Lines>0</Lines>
  <Paragraphs>0</Paragraphs>
  <TotalTime>5</TotalTime>
  <ScaleCrop>false</ScaleCrop>
  <LinksUpToDate>false</LinksUpToDate>
  <CharactersWithSpaces>977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2022-05-27T03:54:00Z</dcterms:created>
  <dc:creator>博然大雾</dc:creator>
  <cp:lastModifiedBy>博然大雾</cp:lastModifiedBy>
  <cp:lastPrinted>2022-06-13T06:24:00Z</cp:lastPrinted>
  <dcterms:modified xsi:type="dcterms:W3CDTF">2022-09-20T13:36:25Z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20BE4DB20FFC4214BB1A03EEA854E28A</vt:lpwstr>
  </property>
</Properties>
</file>