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tabs>
          <w:tab w:val="clear" w:pos="1800"/>
        </w:tabs>
        <w:spacing w:before="0" w:after="0" w:line="360" w:lineRule="auto"/>
        <w:ind w:left="-420" w:firstLine="836" w:firstLineChars="200"/>
        <w:jc w:val="center"/>
        <w:rPr>
          <w:rFonts w:ascii="仿宋_GB2312" w:eastAsia="仿宋_GB2312"/>
          <w:color w:val="auto"/>
          <w:sz w:val="52"/>
          <w:szCs w:val="52"/>
        </w:rPr>
      </w:pPr>
      <w:r>
        <w:rPr>
          <w:rFonts w:hint="eastAsia" w:ascii="仿宋_GB2312" w:eastAsia="仿宋_GB2312"/>
          <w:color w:val="auto"/>
          <w:sz w:val="52"/>
          <w:szCs w:val="52"/>
        </w:rPr>
        <w:t xml:space="preserve"> </w:t>
      </w:r>
    </w:p>
    <w:p>
      <w:pPr>
        <w:pStyle w:val="4"/>
        <w:keepNext w:val="0"/>
        <w:keepLines w:val="0"/>
        <w:widowControl/>
        <w:tabs>
          <w:tab w:val="clear" w:pos="1800"/>
        </w:tabs>
        <w:spacing w:before="0" w:after="0" w:line="360" w:lineRule="auto"/>
        <w:ind w:left="-420" w:firstLine="1044" w:firstLineChars="200"/>
        <w:jc w:val="center"/>
        <w:rPr>
          <w:rFonts w:cs="Times New Roman" w:asciiTheme="minorEastAsia" w:hAnsiTheme="minorEastAsia"/>
          <w:bCs w:val="0"/>
          <w:color w:val="auto"/>
          <w:w w:val="100"/>
          <w:kern w:val="2"/>
          <w:sz w:val="52"/>
          <w:szCs w:val="52"/>
        </w:rPr>
      </w:pPr>
      <w:r>
        <w:rPr>
          <w:rFonts w:hint="eastAsia" w:cs="Times New Roman" w:asciiTheme="minorEastAsia" w:hAnsiTheme="minorEastAsia"/>
          <w:bCs w:val="0"/>
          <w:color w:val="auto"/>
          <w:w w:val="100"/>
          <w:kern w:val="2"/>
          <w:sz w:val="52"/>
          <w:szCs w:val="52"/>
        </w:rPr>
        <w:t>康乃馨食堂承包经营项目</w:t>
      </w:r>
    </w:p>
    <w:p>
      <w:pPr>
        <w:rPr>
          <w:rFonts w:ascii="仿宋_GB2312" w:eastAsia="仿宋_GB2312"/>
          <w:b/>
          <w:bCs/>
          <w:color w:val="auto"/>
          <w:sz w:val="84"/>
          <w:szCs w:val="84"/>
        </w:rPr>
      </w:pPr>
    </w:p>
    <w:p>
      <w:pPr>
        <w:jc w:val="center"/>
        <w:rPr>
          <w:color w:val="auto"/>
        </w:rPr>
      </w:pPr>
      <w:r>
        <w:rPr>
          <w:rFonts w:hint="eastAsia" w:ascii="仿宋_GB2312" w:eastAsia="仿宋_GB2312"/>
          <w:b/>
          <w:bCs/>
          <w:color w:val="auto"/>
          <w:sz w:val="84"/>
          <w:szCs w:val="84"/>
        </w:rPr>
        <w:t>招</w:t>
      </w:r>
    </w:p>
    <w:p>
      <w:pPr>
        <w:jc w:val="center"/>
        <w:rPr>
          <w:rFonts w:ascii="仿宋_GB2312" w:eastAsia="仿宋_GB2312"/>
          <w:b/>
          <w:bCs/>
          <w:color w:val="auto"/>
          <w:sz w:val="84"/>
          <w:szCs w:val="84"/>
        </w:rPr>
      </w:pPr>
      <w:r>
        <w:rPr>
          <w:rFonts w:hint="eastAsia" w:ascii="仿宋_GB2312" w:eastAsia="仿宋_GB2312"/>
          <w:b/>
          <w:bCs/>
          <w:color w:val="auto"/>
          <w:sz w:val="84"/>
          <w:szCs w:val="84"/>
        </w:rPr>
        <w:t>标</w:t>
      </w:r>
    </w:p>
    <w:p>
      <w:pPr>
        <w:jc w:val="center"/>
        <w:rPr>
          <w:rFonts w:ascii="仿宋_GB2312" w:eastAsia="仿宋_GB2312"/>
          <w:b/>
          <w:bCs/>
          <w:color w:val="auto"/>
          <w:sz w:val="84"/>
          <w:szCs w:val="84"/>
        </w:rPr>
      </w:pPr>
      <w:r>
        <w:rPr>
          <w:rFonts w:hint="eastAsia" w:ascii="仿宋_GB2312" w:eastAsia="仿宋_GB2312"/>
          <w:b/>
          <w:bCs/>
          <w:color w:val="auto"/>
          <w:sz w:val="84"/>
          <w:szCs w:val="84"/>
        </w:rPr>
        <w:t>文</w:t>
      </w:r>
    </w:p>
    <w:p>
      <w:pPr>
        <w:jc w:val="center"/>
        <w:rPr>
          <w:rFonts w:ascii="仿宋_GB2312" w:eastAsia="仿宋_GB2312"/>
          <w:b/>
          <w:bCs/>
          <w:color w:val="auto"/>
          <w:sz w:val="84"/>
          <w:szCs w:val="84"/>
        </w:rPr>
      </w:pPr>
      <w:r>
        <w:rPr>
          <w:rFonts w:hint="eastAsia" w:ascii="仿宋_GB2312" w:eastAsia="仿宋_GB2312"/>
          <w:b/>
          <w:bCs/>
          <w:color w:val="auto"/>
          <w:sz w:val="84"/>
          <w:szCs w:val="84"/>
        </w:rPr>
        <w:t>件</w:t>
      </w:r>
    </w:p>
    <w:p>
      <w:pPr>
        <w:jc w:val="center"/>
        <w:rPr>
          <w:rFonts w:ascii="仿宋_GB2312" w:eastAsia="仿宋_GB2312"/>
          <w:b/>
          <w:bCs/>
          <w:color w:val="auto"/>
          <w:sz w:val="52"/>
          <w:szCs w:val="52"/>
        </w:rPr>
      </w:pPr>
    </w:p>
    <w:p>
      <w:pPr>
        <w:rPr>
          <w:rFonts w:ascii="仿宋_GB2312" w:eastAsia="仿宋_GB2312"/>
          <w:b/>
          <w:bCs/>
          <w:color w:val="auto"/>
          <w:sz w:val="52"/>
          <w:szCs w:val="52"/>
        </w:rPr>
      </w:pPr>
    </w:p>
    <w:p>
      <w:pPr>
        <w:rPr>
          <w:rFonts w:ascii="仿宋_GB2312" w:eastAsia="仿宋_GB2312"/>
          <w:b/>
          <w:bCs/>
          <w:color w:val="auto"/>
          <w:sz w:val="52"/>
          <w:szCs w:val="52"/>
        </w:rPr>
      </w:pPr>
    </w:p>
    <w:p>
      <w:pPr>
        <w:jc w:val="center"/>
        <w:rPr>
          <w:rFonts w:ascii="仿宋_GB2312" w:eastAsia="仿宋_GB2312"/>
          <w:b/>
          <w:bCs/>
          <w:color w:val="auto"/>
          <w:sz w:val="52"/>
          <w:szCs w:val="52"/>
        </w:rPr>
      </w:pPr>
    </w:p>
    <w:p>
      <w:pPr>
        <w:spacing w:line="520" w:lineRule="exact"/>
        <w:rPr>
          <w:rFonts w:ascii="仿宋_GB2312" w:eastAsia="仿宋_GB2312"/>
          <w:color w:val="auto"/>
          <w:sz w:val="28"/>
          <w:szCs w:val="28"/>
        </w:rPr>
      </w:pPr>
      <w:r>
        <w:rPr>
          <w:rFonts w:hint="eastAsia" w:ascii="仿宋_GB2312" w:eastAsia="仿宋_GB2312"/>
          <w:b/>
          <w:bCs/>
          <w:color w:val="auto"/>
          <w:sz w:val="28"/>
          <w:szCs w:val="28"/>
        </w:rPr>
        <w:t>招标人：</w:t>
      </w:r>
      <w:r>
        <w:rPr>
          <w:rFonts w:hint="eastAsia" w:ascii="仿宋_GB2312" w:eastAsia="仿宋_GB2312"/>
          <w:color w:val="auto"/>
          <w:sz w:val="28"/>
          <w:szCs w:val="28"/>
        </w:rPr>
        <w:t>湖南康乃馨养老产业投资置业有限公司</w:t>
      </w:r>
    </w:p>
    <w:p>
      <w:pPr>
        <w:spacing w:line="520" w:lineRule="exact"/>
        <w:rPr>
          <w:rFonts w:ascii="仿宋_GB2312" w:eastAsia="仿宋_GB2312"/>
          <w:color w:val="auto"/>
          <w:sz w:val="28"/>
          <w:szCs w:val="28"/>
        </w:rPr>
      </w:pPr>
      <w:r>
        <w:rPr>
          <w:rFonts w:hint="eastAsia" w:ascii="仿宋_GB2312" w:eastAsia="仿宋_GB2312"/>
          <w:b/>
          <w:bCs/>
          <w:color w:val="auto"/>
          <w:sz w:val="28"/>
          <w:szCs w:val="28"/>
        </w:rPr>
        <w:t>招标内容：</w:t>
      </w:r>
      <w:r>
        <w:rPr>
          <w:rFonts w:hint="eastAsia" w:ascii="仿宋_GB2312" w:eastAsia="仿宋_GB2312"/>
          <w:color w:val="auto"/>
          <w:sz w:val="28"/>
          <w:szCs w:val="28"/>
        </w:rPr>
        <w:t>康乃馨公司食堂承包</w:t>
      </w:r>
      <w:r>
        <w:rPr>
          <w:rFonts w:hint="eastAsia" w:ascii="仿宋_GB2312" w:eastAsia="仿宋_GB2312"/>
          <w:color w:val="auto"/>
          <w:sz w:val="28"/>
          <w:szCs w:val="28"/>
          <w:lang w:eastAsia="zh-CN"/>
        </w:rPr>
        <w:t>经</w:t>
      </w:r>
      <w:r>
        <w:rPr>
          <w:rFonts w:hint="eastAsia" w:ascii="仿宋_GB2312" w:eastAsia="仿宋_GB2312"/>
          <w:color w:val="auto"/>
          <w:sz w:val="28"/>
          <w:szCs w:val="28"/>
        </w:rPr>
        <w:t>营</w:t>
      </w:r>
    </w:p>
    <w:p>
      <w:pPr>
        <w:spacing w:line="520" w:lineRule="exact"/>
        <w:jc w:val="center"/>
        <w:rPr>
          <w:rFonts w:ascii="仿宋_GB2312" w:eastAsia="仿宋_GB2312"/>
          <w:color w:val="auto"/>
          <w:sz w:val="28"/>
          <w:szCs w:val="28"/>
        </w:rPr>
      </w:pP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月</w:t>
      </w:r>
    </w:p>
    <w:p>
      <w:pPr>
        <w:spacing w:line="520" w:lineRule="exact"/>
        <w:rPr>
          <w:rFonts w:ascii="仿宋_GB2312" w:eastAsia="仿宋_GB2312"/>
          <w:color w:val="auto"/>
          <w:sz w:val="28"/>
          <w:szCs w:val="28"/>
        </w:rPr>
      </w:pPr>
    </w:p>
    <w:p>
      <w:pPr>
        <w:spacing w:line="520" w:lineRule="exact"/>
        <w:rPr>
          <w:rFonts w:ascii="仿宋_GB2312" w:eastAsia="仿宋_GB2312"/>
          <w:color w:val="auto"/>
          <w:sz w:val="28"/>
          <w:szCs w:val="28"/>
        </w:rPr>
        <w:sectPr>
          <w:footerReference r:id="rId3" w:type="default"/>
          <w:pgSz w:w="11906" w:h="16838"/>
          <w:pgMar w:top="1440" w:right="1800" w:bottom="1440" w:left="1800" w:header="851" w:footer="992" w:gutter="0"/>
          <w:pgNumType w:start="1"/>
          <w:cols w:space="425" w:num="1"/>
          <w:docGrid w:type="lines" w:linePitch="312" w:charSpace="0"/>
        </w:sectPr>
      </w:pPr>
    </w:p>
    <w:sdt>
      <w:sdtPr>
        <w:rPr>
          <w:rFonts w:ascii="宋体" w:hAnsi="宋体" w:eastAsia="宋体"/>
          <w:color w:val="auto"/>
        </w:rPr>
        <w:id w:val="1129983513"/>
        <w:docPartObj>
          <w:docPartGallery w:val="Table of Contents"/>
          <w:docPartUnique/>
        </w:docPartObj>
      </w:sdtPr>
      <w:sdtEndPr>
        <w:rPr>
          <w:rFonts w:ascii="Times New Roman" w:hAnsi="Times New Roman" w:eastAsia="宋体" w:cs="Times New Roman"/>
          <w:color w:val="auto"/>
          <w:sz w:val="28"/>
          <w:szCs w:val="28"/>
        </w:rPr>
      </w:sdtEndPr>
      <w:sdtContent>
        <w:p>
          <w:pPr>
            <w:jc w:val="center"/>
            <w:rPr>
              <w:color w:val="auto"/>
              <w:sz w:val="36"/>
              <w:szCs w:val="36"/>
            </w:rPr>
          </w:pPr>
          <w:bookmarkStart w:id="0" w:name="_Toc22298_WPSOffice_Type1"/>
          <w:r>
            <w:rPr>
              <w:rFonts w:ascii="宋体" w:hAnsi="宋体" w:eastAsia="宋体"/>
              <w:color w:val="auto"/>
              <w:sz w:val="36"/>
              <w:szCs w:val="36"/>
            </w:rPr>
            <w:t>目录</w:t>
          </w:r>
        </w:p>
        <w:p>
          <w:pPr>
            <w:pStyle w:val="27"/>
            <w:tabs>
              <w:tab w:val="right" w:leader="dot" w:pos="8306"/>
            </w:tabs>
            <w:rPr>
              <w:color w:val="auto"/>
              <w:sz w:val="28"/>
              <w:szCs w:val="28"/>
            </w:rPr>
          </w:pPr>
          <w:r>
            <w:rPr>
              <w:color w:val="auto"/>
            </w:rPr>
            <w:fldChar w:fldCharType="begin"/>
          </w:r>
          <w:r>
            <w:rPr>
              <w:color w:val="auto"/>
            </w:rPr>
            <w:instrText xml:space="preserve"> HYPERLINK \l "_Toc3821_WPSOffice_Level1" </w:instrText>
          </w:r>
          <w:r>
            <w:rPr>
              <w:color w:val="auto"/>
            </w:rPr>
            <w:fldChar w:fldCharType="separate"/>
          </w:r>
          <w:sdt>
            <w:sdtPr>
              <w:rPr>
                <w:rFonts w:ascii="Arial" w:hAnsi="Arial" w:eastAsia="黑体" w:cs="Tahoma"/>
                <w:b/>
                <w:bCs/>
                <w:color w:val="auto"/>
                <w:w w:val="80"/>
                <w:kern w:val="1"/>
                <w:sz w:val="28"/>
                <w:szCs w:val="28"/>
              </w:rPr>
              <w:id w:val="147455383"/>
              <w:placeholder>
                <w:docPart w:val="{d17791fd-9504-4f98-bd09-332c532762fc}"/>
              </w:placeholder>
            </w:sdtPr>
            <w:sdtEndPr>
              <w:rPr>
                <w:rFonts w:ascii="Arial" w:hAnsi="Arial" w:eastAsia="黑体" w:cs="Tahoma"/>
                <w:b/>
                <w:bCs/>
                <w:color w:val="auto"/>
                <w:w w:val="80"/>
                <w:kern w:val="1"/>
                <w:sz w:val="28"/>
                <w:szCs w:val="28"/>
              </w:rPr>
            </w:sdtEndPr>
            <w:sdtContent>
              <w:r>
                <w:rPr>
                  <w:rFonts w:hint="eastAsia" w:asciiTheme="minorEastAsia" w:hAnsiTheme="minorEastAsia" w:eastAsiaTheme="minorEastAsia" w:cstheme="minorBidi"/>
                  <w:color w:val="auto"/>
                  <w:sz w:val="28"/>
                  <w:szCs w:val="28"/>
                </w:rPr>
                <w:t>第一章  招标公告</w:t>
              </w:r>
            </w:sdtContent>
          </w:sdt>
          <w:r>
            <w:rPr>
              <w:color w:val="auto"/>
              <w:sz w:val="28"/>
              <w:szCs w:val="28"/>
            </w:rPr>
            <w:tab/>
          </w:r>
          <w:bookmarkStart w:id="1" w:name="_Toc3821_WPSOffice_Level1Page"/>
          <w:r>
            <w:rPr>
              <w:color w:val="auto"/>
              <w:sz w:val="28"/>
              <w:szCs w:val="28"/>
            </w:rPr>
            <w:t>1</w:t>
          </w:r>
          <w:bookmarkEnd w:id="1"/>
          <w:r>
            <w:rPr>
              <w:color w:val="auto"/>
              <w:sz w:val="28"/>
              <w:szCs w:val="28"/>
            </w:rPr>
            <w:fldChar w:fldCharType="end"/>
          </w:r>
        </w:p>
        <w:p>
          <w:pPr>
            <w:pStyle w:val="27"/>
            <w:tabs>
              <w:tab w:val="right" w:leader="dot" w:pos="8306"/>
            </w:tabs>
            <w:rPr>
              <w:color w:val="auto"/>
              <w:sz w:val="28"/>
              <w:szCs w:val="28"/>
            </w:rPr>
          </w:pPr>
          <w:r>
            <w:rPr>
              <w:color w:val="auto"/>
            </w:rPr>
            <w:fldChar w:fldCharType="begin"/>
          </w:r>
          <w:r>
            <w:rPr>
              <w:color w:val="auto"/>
            </w:rPr>
            <w:instrText xml:space="preserve"> HYPERLINK \l "_Toc22298_WPSOffice_Level1" </w:instrText>
          </w:r>
          <w:r>
            <w:rPr>
              <w:color w:val="auto"/>
            </w:rPr>
            <w:fldChar w:fldCharType="separate"/>
          </w:r>
          <w:sdt>
            <w:sdtPr>
              <w:rPr>
                <w:rFonts w:ascii="Arial" w:hAnsi="Arial" w:eastAsia="黑体" w:cs="Tahoma"/>
                <w:b/>
                <w:bCs/>
                <w:color w:val="auto"/>
                <w:w w:val="80"/>
                <w:kern w:val="1"/>
                <w:sz w:val="28"/>
                <w:szCs w:val="28"/>
              </w:rPr>
              <w:id w:val="-1054773862"/>
              <w:placeholder>
                <w:docPart w:val="{c5807a2d-8406-41dc-b7f4-3e717f5648b1}"/>
              </w:placeholder>
            </w:sdtPr>
            <w:sdtEndPr>
              <w:rPr>
                <w:rFonts w:ascii="Arial" w:hAnsi="Arial" w:eastAsia="黑体" w:cs="Tahoma"/>
                <w:b/>
                <w:bCs/>
                <w:color w:val="auto"/>
                <w:w w:val="80"/>
                <w:kern w:val="1"/>
                <w:sz w:val="28"/>
                <w:szCs w:val="28"/>
              </w:rPr>
            </w:sdtEndPr>
            <w:sdtContent>
              <w:r>
                <w:rPr>
                  <w:rFonts w:hint="eastAsia" w:asciiTheme="minorHAnsi" w:hAnsiTheme="minorHAnsi" w:eastAsiaTheme="minorEastAsia" w:cstheme="minorBidi"/>
                  <w:color w:val="auto"/>
                  <w:sz w:val="28"/>
                  <w:szCs w:val="28"/>
                </w:rPr>
                <w:t>第二章  投标须知</w:t>
              </w:r>
            </w:sdtContent>
          </w:sdt>
          <w:r>
            <w:rPr>
              <w:color w:val="auto"/>
              <w:sz w:val="28"/>
              <w:szCs w:val="28"/>
            </w:rPr>
            <w:tab/>
          </w:r>
          <w:bookmarkStart w:id="2" w:name="_Toc22298_WPSOffice_Level1Page"/>
          <w:r>
            <w:rPr>
              <w:color w:val="auto"/>
              <w:sz w:val="28"/>
              <w:szCs w:val="28"/>
            </w:rPr>
            <w:t>3</w:t>
          </w:r>
          <w:bookmarkEnd w:id="2"/>
          <w:r>
            <w:rPr>
              <w:color w:val="auto"/>
              <w:sz w:val="28"/>
              <w:szCs w:val="28"/>
            </w:rPr>
            <w:fldChar w:fldCharType="end"/>
          </w:r>
        </w:p>
        <w:p>
          <w:pPr>
            <w:pStyle w:val="27"/>
            <w:tabs>
              <w:tab w:val="right" w:leader="dot" w:pos="8306"/>
            </w:tabs>
            <w:rPr>
              <w:color w:val="auto"/>
              <w:sz w:val="28"/>
              <w:szCs w:val="28"/>
            </w:rPr>
          </w:pPr>
          <w:r>
            <w:rPr>
              <w:color w:val="auto"/>
            </w:rPr>
            <w:fldChar w:fldCharType="begin"/>
          </w:r>
          <w:r>
            <w:rPr>
              <w:color w:val="auto"/>
            </w:rPr>
            <w:instrText xml:space="preserve"> HYPERLINK \l "_Toc6580_WPSOffice_Level1" </w:instrText>
          </w:r>
          <w:r>
            <w:rPr>
              <w:color w:val="auto"/>
            </w:rPr>
            <w:fldChar w:fldCharType="separate"/>
          </w:r>
          <w:sdt>
            <w:sdtPr>
              <w:rPr>
                <w:rFonts w:ascii="Arial" w:hAnsi="Arial" w:eastAsia="黑体" w:cs="Tahoma"/>
                <w:b/>
                <w:bCs/>
                <w:color w:val="auto"/>
                <w:w w:val="80"/>
                <w:kern w:val="1"/>
                <w:sz w:val="28"/>
                <w:szCs w:val="28"/>
              </w:rPr>
              <w:id w:val="326722918"/>
              <w:placeholder>
                <w:docPart w:val="{f97359cd-3d12-4ad9-bc93-d0dc7dda568e}"/>
              </w:placeholder>
            </w:sdtPr>
            <w:sdtEndPr>
              <w:rPr>
                <w:rFonts w:ascii="Arial" w:hAnsi="Arial" w:eastAsia="黑体" w:cs="Tahoma"/>
                <w:b/>
                <w:bCs/>
                <w:color w:val="auto"/>
                <w:w w:val="80"/>
                <w:kern w:val="1"/>
                <w:sz w:val="28"/>
                <w:szCs w:val="28"/>
              </w:rPr>
            </w:sdtEndPr>
            <w:sdtContent>
              <w:r>
                <w:rPr>
                  <w:rFonts w:hint="eastAsia" w:asciiTheme="majorEastAsia" w:hAnsiTheme="majorEastAsia" w:eastAsiaTheme="majorEastAsia" w:cstheme="majorEastAsia"/>
                  <w:color w:val="auto"/>
                  <w:sz w:val="28"/>
                  <w:szCs w:val="28"/>
                </w:rPr>
                <w:t xml:space="preserve">第三章 </w:t>
              </w:r>
              <w:r>
                <w:rPr>
                  <w:rFonts w:hint="eastAsia" w:asciiTheme="majorEastAsia" w:hAnsiTheme="majorEastAsia" w:eastAsiaTheme="majorEastAsia" w:cstheme="majorEastAsia"/>
                  <w:color w:val="auto"/>
                  <w:sz w:val="28"/>
                  <w:szCs w:val="28"/>
                  <w:lang w:val="en-US" w:eastAsia="zh-CN"/>
                </w:rPr>
                <w:t xml:space="preserve"> </w:t>
              </w:r>
              <w:r>
                <w:rPr>
                  <w:rFonts w:hint="eastAsia" w:asciiTheme="majorEastAsia" w:hAnsiTheme="majorEastAsia" w:eastAsiaTheme="majorEastAsia" w:cstheme="majorEastAsia"/>
                  <w:color w:val="auto"/>
                  <w:sz w:val="28"/>
                  <w:szCs w:val="28"/>
                </w:rPr>
                <w:t>项目情况说明及要求</w:t>
              </w:r>
            </w:sdtContent>
          </w:sdt>
          <w:r>
            <w:rPr>
              <w:color w:val="auto"/>
              <w:sz w:val="28"/>
              <w:szCs w:val="28"/>
            </w:rPr>
            <w:tab/>
          </w:r>
          <w:bookmarkStart w:id="3" w:name="_Toc6580_WPSOffice_Level1Page"/>
          <w:r>
            <w:rPr>
              <w:color w:val="auto"/>
              <w:sz w:val="28"/>
              <w:szCs w:val="28"/>
            </w:rPr>
            <w:t>16</w:t>
          </w:r>
          <w:bookmarkEnd w:id="3"/>
          <w:r>
            <w:rPr>
              <w:color w:val="auto"/>
              <w:sz w:val="28"/>
              <w:szCs w:val="28"/>
            </w:rPr>
            <w:fldChar w:fldCharType="end"/>
          </w:r>
        </w:p>
        <w:p>
          <w:pPr>
            <w:pStyle w:val="27"/>
            <w:tabs>
              <w:tab w:val="right" w:leader="dot" w:pos="8306"/>
            </w:tabs>
            <w:rPr>
              <w:color w:val="auto"/>
              <w:sz w:val="28"/>
              <w:szCs w:val="28"/>
            </w:rPr>
          </w:pPr>
          <w:r>
            <w:rPr>
              <w:color w:val="auto"/>
            </w:rPr>
            <w:fldChar w:fldCharType="begin"/>
          </w:r>
          <w:r>
            <w:rPr>
              <w:color w:val="auto"/>
            </w:rPr>
            <w:instrText xml:space="preserve"> HYPERLINK \l "_Toc27204_WPSOffice_Level1" </w:instrText>
          </w:r>
          <w:r>
            <w:rPr>
              <w:color w:val="auto"/>
            </w:rPr>
            <w:fldChar w:fldCharType="separate"/>
          </w:r>
          <w:sdt>
            <w:sdtPr>
              <w:rPr>
                <w:rFonts w:ascii="Arial" w:hAnsi="Arial" w:eastAsia="黑体" w:cs="Tahoma"/>
                <w:b/>
                <w:bCs/>
                <w:color w:val="auto"/>
                <w:w w:val="80"/>
                <w:kern w:val="1"/>
                <w:sz w:val="28"/>
                <w:szCs w:val="28"/>
              </w:rPr>
              <w:id w:val="1346446787"/>
              <w:placeholder>
                <w:docPart w:val="{d129111c-b20b-4bc6-a9b2-eec52bb3a9ce}"/>
              </w:placeholder>
            </w:sdtPr>
            <w:sdtEndPr>
              <w:rPr>
                <w:rFonts w:ascii="Arial" w:hAnsi="Arial" w:eastAsia="黑体" w:cs="Tahoma"/>
                <w:b/>
                <w:bCs/>
                <w:color w:val="auto"/>
                <w:w w:val="80"/>
                <w:kern w:val="1"/>
                <w:sz w:val="28"/>
                <w:szCs w:val="28"/>
              </w:rPr>
            </w:sdtEndPr>
            <w:sdtContent>
              <w:r>
                <w:rPr>
                  <w:rFonts w:hint="eastAsia" w:asciiTheme="minorEastAsia" w:hAnsiTheme="minorEastAsia" w:eastAsiaTheme="minorEastAsia" w:cstheme="minorBidi"/>
                  <w:color w:val="auto"/>
                  <w:sz w:val="28"/>
                  <w:szCs w:val="28"/>
                </w:rPr>
                <w:t xml:space="preserve">第四章  </w:t>
              </w:r>
              <w:r>
                <w:rPr>
                  <w:rFonts w:hint="eastAsia" w:asciiTheme="majorEastAsia" w:hAnsiTheme="majorEastAsia" w:eastAsiaTheme="majorEastAsia" w:cstheme="majorEastAsia"/>
                  <w:color w:val="auto"/>
                  <w:sz w:val="28"/>
                  <w:szCs w:val="28"/>
                </w:rPr>
                <w:t>康乃馨食堂承包运营协议</w:t>
              </w:r>
            </w:sdtContent>
          </w:sdt>
          <w:r>
            <w:rPr>
              <w:color w:val="auto"/>
              <w:sz w:val="28"/>
              <w:szCs w:val="28"/>
            </w:rPr>
            <w:tab/>
          </w:r>
          <w:bookmarkStart w:id="4" w:name="_Toc27204_WPSOffice_Level1Page"/>
          <w:r>
            <w:rPr>
              <w:color w:val="auto"/>
              <w:sz w:val="28"/>
              <w:szCs w:val="28"/>
            </w:rPr>
            <w:t>21</w:t>
          </w:r>
          <w:bookmarkEnd w:id="4"/>
          <w:r>
            <w:rPr>
              <w:color w:val="auto"/>
              <w:sz w:val="28"/>
              <w:szCs w:val="28"/>
            </w:rPr>
            <w:fldChar w:fldCharType="end"/>
          </w:r>
        </w:p>
        <w:p>
          <w:pPr>
            <w:pStyle w:val="27"/>
            <w:tabs>
              <w:tab w:val="right" w:leader="dot" w:pos="8306"/>
            </w:tabs>
            <w:rPr>
              <w:color w:val="auto"/>
              <w:sz w:val="28"/>
              <w:szCs w:val="28"/>
            </w:rPr>
          </w:pPr>
          <w:r>
            <w:rPr>
              <w:color w:val="auto"/>
            </w:rPr>
            <w:fldChar w:fldCharType="begin"/>
          </w:r>
          <w:r>
            <w:rPr>
              <w:color w:val="auto"/>
            </w:rPr>
            <w:instrText xml:space="preserve"> HYPERLINK \l "_Toc17451_WPSOffice_Level1" </w:instrText>
          </w:r>
          <w:r>
            <w:rPr>
              <w:color w:val="auto"/>
            </w:rPr>
            <w:fldChar w:fldCharType="separate"/>
          </w:r>
          <w:sdt>
            <w:sdtPr>
              <w:rPr>
                <w:rFonts w:ascii="Arial" w:hAnsi="Arial" w:eastAsia="黑体" w:cs="Tahoma"/>
                <w:b/>
                <w:bCs/>
                <w:color w:val="auto"/>
                <w:w w:val="80"/>
                <w:kern w:val="1"/>
                <w:sz w:val="28"/>
                <w:szCs w:val="28"/>
              </w:rPr>
              <w:id w:val="-415326144"/>
              <w:placeholder>
                <w:docPart w:val="{c2b58b28-e0db-4b5d-94c2-c2189e3cb2bd}"/>
              </w:placeholder>
            </w:sdtPr>
            <w:sdtEndPr>
              <w:rPr>
                <w:rFonts w:ascii="Arial" w:hAnsi="Arial" w:eastAsia="黑体" w:cs="Tahoma"/>
                <w:b/>
                <w:bCs/>
                <w:color w:val="auto"/>
                <w:w w:val="80"/>
                <w:kern w:val="1"/>
                <w:sz w:val="28"/>
                <w:szCs w:val="28"/>
              </w:rPr>
            </w:sdtEndPr>
            <w:sdtContent>
              <w:r>
                <w:rPr>
                  <w:rFonts w:hint="eastAsia" w:asciiTheme="minorEastAsia" w:hAnsiTheme="minorEastAsia" w:eastAsiaTheme="minorEastAsia" w:cstheme="minorBidi"/>
                  <w:color w:val="auto"/>
                  <w:sz w:val="28"/>
                  <w:szCs w:val="28"/>
                </w:rPr>
                <w:t>第五章  投标文件格式</w:t>
              </w:r>
            </w:sdtContent>
          </w:sdt>
          <w:r>
            <w:rPr>
              <w:color w:val="auto"/>
              <w:sz w:val="28"/>
              <w:szCs w:val="28"/>
            </w:rPr>
            <w:tab/>
          </w:r>
          <w:bookmarkStart w:id="5" w:name="_Toc17451_WPSOffice_Level1Page"/>
          <w:r>
            <w:rPr>
              <w:color w:val="auto"/>
              <w:sz w:val="28"/>
              <w:szCs w:val="28"/>
            </w:rPr>
            <w:t>33</w:t>
          </w:r>
          <w:bookmarkEnd w:id="5"/>
          <w:r>
            <w:rPr>
              <w:color w:val="auto"/>
              <w:sz w:val="28"/>
              <w:szCs w:val="28"/>
            </w:rPr>
            <w:fldChar w:fldCharType="end"/>
          </w:r>
        </w:p>
        <w:p>
          <w:pPr>
            <w:pStyle w:val="27"/>
            <w:tabs>
              <w:tab w:val="right" w:leader="dot" w:pos="8306"/>
            </w:tabs>
            <w:rPr>
              <w:color w:val="auto"/>
              <w:sz w:val="28"/>
              <w:szCs w:val="28"/>
            </w:rPr>
          </w:pPr>
          <w:r>
            <w:rPr>
              <w:color w:val="auto"/>
            </w:rPr>
            <w:fldChar w:fldCharType="begin"/>
          </w:r>
          <w:r>
            <w:rPr>
              <w:color w:val="auto"/>
            </w:rPr>
            <w:instrText xml:space="preserve"> HYPERLINK \l "_Toc21918_WPSOffice_Level1" </w:instrText>
          </w:r>
          <w:r>
            <w:rPr>
              <w:color w:val="auto"/>
            </w:rPr>
            <w:fldChar w:fldCharType="separate"/>
          </w:r>
          <w:sdt>
            <w:sdtPr>
              <w:rPr>
                <w:rFonts w:ascii="Arial" w:hAnsi="Arial" w:eastAsia="黑体" w:cs="Tahoma"/>
                <w:b/>
                <w:bCs/>
                <w:color w:val="auto"/>
                <w:w w:val="80"/>
                <w:kern w:val="1"/>
                <w:sz w:val="28"/>
                <w:szCs w:val="28"/>
              </w:rPr>
              <w:id w:val="634922297"/>
              <w:placeholder>
                <w:docPart w:val="{d87261fd-dad1-4fc8-8d2c-0c9009c3847b}"/>
              </w:placeholder>
            </w:sdtPr>
            <w:sdtEndPr>
              <w:rPr>
                <w:rFonts w:ascii="Arial" w:hAnsi="Arial" w:eastAsia="黑体" w:cs="Tahoma"/>
                <w:b/>
                <w:bCs/>
                <w:color w:val="auto"/>
                <w:w w:val="80"/>
                <w:kern w:val="1"/>
                <w:sz w:val="28"/>
                <w:szCs w:val="28"/>
              </w:rPr>
            </w:sdtEndPr>
            <w:sdtContent>
              <w:r>
                <w:rPr>
                  <w:rFonts w:hint="eastAsia" w:asciiTheme="minorEastAsia" w:hAnsiTheme="minorEastAsia" w:eastAsiaTheme="minorEastAsia" w:cstheme="minorBidi"/>
                  <w:color w:val="auto"/>
                  <w:sz w:val="28"/>
                  <w:szCs w:val="28"/>
                </w:rPr>
                <w:t>第六章  评标办法</w:t>
              </w:r>
            </w:sdtContent>
          </w:sdt>
          <w:r>
            <w:rPr>
              <w:color w:val="auto"/>
              <w:sz w:val="28"/>
              <w:szCs w:val="28"/>
            </w:rPr>
            <w:tab/>
          </w:r>
          <w:bookmarkStart w:id="6" w:name="_Toc21918_WPSOffice_Level1Page"/>
          <w:r>
            <w:rPr>
              <w:color w:val="auto"/>
              <w:sz w:val="28"/>
              <w:szCs w:val="28"/>
            </w:rPr>
            <w:t>44</w:t>
          </w:r>
          <w:bookmarkEnd w:id="6"/>
          <w:r>
            <w:rPr>
              <w:color w:val="auto"/>
              <w:sz w:val="28"/>
              <w:szCs w:val="28"/>
            </w:rPr>
            <w:fldChar w:fldCharType="end"/>
          </w:r>
        </w:p>
      </w:sdtContent>
    </w:sdt>
    <w:bookmarkEnd w:id="0"/>
    <w:p>
      <w:pPr>
        <w:pStyle w:val="2"/>
        <w:rPr>
          <w:color w:val="auto"/>
          <w:sz w:val="28"/>
          <w:szCs w:val="28"/>
        </w:rPr>
      </w:pPr>
    </w:p>
    <w:p>
      <w:pPr>
        <w:spacing w:line="520" w:lineRule="exact"/>
        <w:outlineLvl w:val="0"/>
        <w:rPr>
          <w:rFonts w:ascii="仿宋_GB2312" w:eastAsia="仿宋_GB2312"/>
          <w:color w:val="auto"/>
          <w:sz w:val="28"/>
          <w:szCs w:val="28"/>
        </w:rPr>
      </w:pPr>
    </w:p>
    <w:p>
      <w:pPr>
        <w:spacing w:line="520" w:lineRule="exact"/>
        <w:rPr>
          <w:rFonts w:ascii="仿宋_GB2312" w:eastAsia="仿宋_GB2312"/>
          <w:color w:val="auto"/>
          <w:sz w:val="28"/>
          <w:szCs w:val="28"/>
        </w:rPr>
      </w:pPr>
    </w:p>
    <w:p>
      <w:pPr>
        <w:spacing w:line="520" w:lineRule="exact"/>
        <w:rPr>
          <w:rFonts w:ascii="仿宋_GB2312" w:eastAsia="仿宋_GB2312"/>
          <w:color w:val="auto"/>
          <w:sz w:val="28"/>
          <w:szCs w:val="28"/>
        </w:rPr>
      </w:pPr>
    </w:p>
    <w:p>
      <w:pPr>
        <w:spacing w:line="520" w:lineRule="exact"/>
        <w:rPr>
          <w:rFonts w:ascii="仿宋_GB2312" w:eastAsia="仿宋_GB2312"/>
          <w:color w:val="auto"/>
          <w:sz w:val="28"/>
          <w:szCs w:val="28"/>
        </w:rPr>
      </w:pPr>
    </w:p>
    <w:p>
      <w:pPr>
        <w:pStyle w:val="2"/>
        <w:rPr>
          <w:rFonts w:ascii="仿宋_GB2312" w:eastAsia="仿宋_GB2312"/>
          <w:color w:val="auto"/>
          <w:sz w:val="28"/>
          <w:szCs w:val="28"/>
        </w:rPr>
      </w:pPr>
    </w:p>
    <w:p>
      <w:pPr>
        <w:rPr>
          <w:rFonts w:ascii="仿宋_GB2312" w:eastAsia="仿宋_GB2312"/>
          <w:color w:val="auto"/>
          <w:sz w:val="28"/>
          <w:szCs w:val="28"/>
        </w:rPr>
      </w:pPr>
    </w:p>
    <w:p>
      <w:pPr>
        <w:pStyle w:val="2"/>
        <w:rPr>
          <w:rFonts w:ascii="仿宋_GB2312" w:eastAsia="仿宋_GB2312"/>
          <w:color w:val="auto"/>
          <w:sz w:val="28"/>
          <w:szCs w:val="28"/>
        </w:rPr>
      </w:pPr>
    </w:p>
    <w:p>
      <w:pPr>
        <w:rPr>
          <w:rFonts w:ascii="仿宋_GB2312" w:eastAsia="仿宋_GB2312"/>
          <w:color w:val="auto"/>
          <w:sz w:val="28"/>
          <w:szCs w:val="28"/>
        </w:rPr>
      </w:pPr>
    </w:p>
    <w:p>
      <w:pPr>
        <w:pStyle w:val="2"/>
        <w:rPr>
          <w:color w:val="auto"/>
        </w:rPr>
        <w:sectPr>
          <w:footerReference r:id="rId4" w:type="default"/>
          <w:pgSz w:w="11906" w:h="16838"/>
          <w:pgMar w:top="1440" w:right="1800" w:bottom="1440" w:left="1800" w:header="851" w:footer="992" w:gutter="0"/>
          <w:pgNumType w:start="1"/>
          <w:cols w:space="425" w:num="1"/>
          <w:docGrid w:type="lines" w:linePitch="312" w:charSpace="0"/>
        </w:sectPr>
      </w:pPr>
    </w:p>
    <w:p>
      <w:pPr>
        <w:pStyle w:val="3"/>
        <w:spacing w:line="440" w:lineRule="exact"/>
        <w:jc w:val="center"/>
        <w:rPr>
          <w:rFonts w:asciiTheme="minorEastAsia" w:hAnsiTheme="minorEastAsia"/>
          <w:color w:val="auto"/>
        </w:rPr>
      </w:pPr>
      <w:bookmarkStart w:id="7" w:name="_Toc321052819"/>
      <w:bookmarkStart w:id="8" w:name="_Toc3821_WPSOffice_Level1"/>
      <w:bookmarkStart w:id="9" w:name="_Toc14661_WPSOffice_Level1"/>
      <w:bookmarkStart w:id="10" w:name="_Toc26402_WPSOffice_Level1"/>
      <w:r>
        <w:rPr>
          <w:rFonts w:hint="eastAsia" w:asciiTheme="minorEastAsia" w:hAnsiTheme="minorEastAsia"/>
          <w:color w:val="auto"/>
        </w:rPr>
        <w:t xml:space="preserve">第一章  </w:t>
      </w:r>
      <w:bookmarkEnd w:id="7"/>
      <w:r>
        <w:rPr>
          <w:rFonts w:hint="eastAsia" w:asciiTheme="minorEastAsia" w:hAnsiTheme="minorEastAsia"/>
          <w:color w:val="auto"/>
        </w:rPr>
        <w:t>招标公告</w:t>
      </w:r>
      <w:bookmarkEnd w:id="8"/>
      <w:bookmarkEnd w:id="9"/>
      <w:bookmarkEnd w:id="10"/>
    </w:p>
    <w:p>
      <w:pPr>
        <w:tabs>
          <w:tab w:val="left" w:pos="7920"/>
        </w:tabs>
        <w:spacing w:line="420" w:lineRule="exact"/>
        <w:ind w:left="-94" w:leftChars="-45" w:right="15" w:rightChars="7" w:firstLine="576" w:firstLineChars="240"/>
        <w:rPr>
          <w:rFonts w:hint="eastAsia" w:ascii="仿宋" w:hAnsi="仿宋" w:eastAsia="仿宋" w:cs="仿宋"/>
          <w:color w:val="auto"/>
          <w:sz w:val="24"/>
        </w:rPr>
      </w:pPr>
    </w:p>
    <w:p>
      <w:pPr>
        <w:tabs>
          <w:tab w:val="left" w:pos="7920"/>
        </w:tabs>
        <w:spacing w:line="436"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康乃馨食堂承包经营项目，招标人为湖南康乃馨养老产业投资置业有限公司，项目已具备招标条件，现对该项目进行公开招标。</w:t>
      </w:r>
    </w:p>
    <w:p>
      <w:pPr>
        <w:spacing w:line="436" w:lineRule="exact"/>
        <w:rPr>
          <w:rFonts w:ascii="仿宋" w:hAnsi="仿宋" w:eastAsia="仿宋" w:cs="仿宋"/>
          <w:b/>
          <w:bCs/>
          <w:color w:val="auto"/>
          <w:sz w:val="24"/>
        </w:rPr>
      </w:pPr>
      <w:r>
        <w:rPr>
          <w:rFonts w:hint="eastAsia" w:ascii="仿宋" w:hAnsi="仿宋" w:eastAsia="仿宋" w:cs="仿宋"/>
          <w:b/>
          <w:bCs/>
          <w:color w:val="auto"/>
          <w:sz w:val="24"/>
        </w:rPr>
        <w:t>一、项目概况</w:t>
      </w:r>
    </w:p>
    <w:p>
      <w:pPr>
        <w:spacing w:line="436" w:lineRule="exact"/>
        <w:ind w:firstLine="480" w:firstLineChars="200"/>
        <w:rPr>
          <w:rFonts w:ascii="仿宋" w:hAnsi="仿宋" w:eastAsia="仿宋" w:cs="仿宋"/>
          <w:color w:val="auto"/>
          <w:sz w:val="24"/>
        </w:rPr>
      </w:pPr>
      <w:r>
        <w:rPr>
          <w:rFonts w:hint="eastAsia" w:ascii="仿宋" w:hAnsi="仿宋" w:eastAsia="仿宋" w:cs="仿宋"/>
          <w:color w:val="auto"/>
          <w:sz w:val="24"/>
        </w:rPr>
        <w:t>1、项目名称：康乃馨食堂承包经营项目</w:t>
      </w:r>
    </w:p>
    <w:p>
      <w:pPr>
        <w:spacing w:line="436" w:lineRule="exact"/>
        <w:ind w:firstLine="480" w:firstLineChars="200"/>
        <w:rPr>
          <w:rFonts w:ascii="仿宋" w:hAnsi="仿宋" w:eastAsia="仿宋" w:cs="仿宋"/>
          <w:color w:val="auto"/>
          <w:sz w:val="24"/>
        </w:rPr>
      </w:pPr>
      <w:r>
        <w:rPr>
          <w:rFonts w:hint="eastAsia" w:ascii="仿宋" w:hAnsi="仿宋" w:eastAsia="仿宋" w:cs="仿宋"/>
          <w:color w:val="auto"/>
          <w:sz w:val="24"/>
        </w:rPr>
        <w:t>2、项目地点：长沙市望城区</w:t>
      </w:r>
      <w:r>
        <w:rPr>
          <w:rFonts w:hint="eastAsia" w:ascii="仿宋" w:hAnsi="仿宋" w:eastAsia="仿宋" w:cs="仿宋"/>
          <w:color w:val="auto"/>
          <w:sz w:val="24"/>
          <w:lang w:eastAsia="zh-CN"/>
        </w:rPr>
        <w:t>月亮岛街道</w:t>
      </w:r>
      <w:r>
        <w:rPr>
          <w:rFonts w:hint="eastAsia" w:ascii="仿宋" w:hAnsi="仿宋" w:eastAsia="仿宋" w:cs="仿宋"/>
          <w:color w:val="auto"/>
          <w:sz w:val="24"/>
        </w:rPr>
        <w:t>银星路二段599号康乃馨医院大楼一栋二楼食堂</w:t>
      </w:r>
    </w:p>
    <w:p>
      <w:pPr>
        <w:spacing w:line="436" w:lineRule="exact"/>
        <w:ind w:firstLine="480" w:firstLineChars="200"/>
        <w:rPr>
          <w:rFonts w:ascii="仿宋" w:hAnsi="仿宋" w:eastAsia="仿宋" w:cs="仿宋"/>
          <w:color w:val="auto"/>
          <w:sz w:val="24"/>
        </w:rPr>
      </w:pPr>
      <w:r>
        <w:rPr>
          <w:rFonts w:hint="eastAsia" w:ascii="仿宋" w:hAnsi="仿宋" w:eastAsia="仿宋" w:cs="仿宋"/>
          <w:color w:val="auto"/>
          <w:sz w:val="24"/>
        </w:rPr>
        <w:t>3、项目概况：位于长沙市望城区月亮岛街道银星路康乃馨国际老年生活示范城，康乃馨医院大楼一栋二楼食堂，包含：厨房、餐厅、包厢、现有的厨房设备、餐具等；总建筑面积：</w:t>
      </w:r>
      <w:r>
        <w:rPr>
          <w:rFonts w:hint="eastAsia" w:ascii="仿宋" w:hAnsi="仿宋" w:eastAsia="仿宋" w:cs="仿宋"/>
          <w:color w:val="auto"/>
          <w:sz w:val="24"/>
          <w:lang w:eastAsia="zh-CN"/>
        </w:rPr>
        <w:t>约</w:t>
      </w:r>
      <w:r>
        <w:rPr>
          <w:rFonts w:hint="eastAsia" w:ascii="仿宋" w:hAnsi="仿宋" w:eastAsia="仿宋" w:cs="仿宋"/>
          <w:color w:val="auto"/>
          <w:sz w:val="24"/>
          <w:lang w:val="en-US" w:eastAsia="zh-CN"/>
        </w:rPr>
        <w:t>1200</w:t>
      </w:r>
      <w:r>
        <w:rPr>
          <w:rFonts w:hint="eastAsia" w:ascii="仿宋" w:hAnsi="仿宋" w:eastAsia="仿宋" w:cs="仿宋"/>
          <w:color w:val="auto"/>
          <w:sz w:val="24"/>
        </w:rPr>
        <w:t>（m2）</w:t>
      </w:r>
      <w:r>
        <w:rPr>
          <w:rFonts w:hint="eastAsia" w:ascii="仿宋" w:hAnsi="仿宋" w:eastAsia="仿宋" w:cs="仿宋"/>
          <w:color w:val="auto"/>
          <w:sz w:val="24"/>
          <w:lang w:eastAsia="zh-CN"/>
        </w:rPr>
        <w:t>注：根据公司发展需要，将现有食堂大厅面积划出部分用于公司功能用房（投标人应全力配合公司对食堂大厅的改造，并在改造过程中可能造成的影响予以接受），具体以实际交付面积为准，投标人可自行到现场查看。</w:t>
      </w:r>
    </w:p>
    <w:p>
      <w:pPr>
        <w:spacing w:line="436" w:lineRule="exact"/>
        <w:ind w:firstLine="482" w:firstLineChars="200"/>
        <w:rPr>
          <w:rFonts w:ascii="仿宋" w:hAnsi="仿宋" w:eastAsia="仿宋" w:cs="仿宋"/>
          <w:color w:val="auto"/>
          <w:sz w:val="24"/>
        </w:rPr>
      </w:pPr>
      <w:r>
        <w:rPr>
          <w:rFonts w:hint="eastAsia" w:ascii="仿宋" w:hAnsi="仿宋" w:eastAsia="仿宋" w:cs="仿宋"/>
          <w:b/>
          <w:bCs/>
          <w:color w:val="auto"/>
          <w:sz w:val="24"/>
        </w:rPr>
        <w:t>4、基本要求</w:t>
      </w:r>
      <w:r>
        <w:rPr>
          <w:rFonts w:hint="eastAsia" w:ascii="仿宋" w:hAnsi="仿宋" w:eastAsia="仿宋" w:cs="仿宋"/>
          <w:color w:val="auto"/>
          <w:sz w:val="24"/>
        </w:rPr>
        <w:t>：</w:t>
      </w:r>
    </w:p>
    <w:p>
      <w:pPr>
        <w:spacing w:line="436"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（1）满足招标人员</w:t>
      </w:r>
      <w:r>
        <w:rPr>
          <w:rFonts w:hint="eastAsia" w:ascii="仿宋" w:hAnsi="仿宋" w:eastAsia="仿宋" w:cs="仿宋"/>
          <w:color w:val="auto"/>
          <w:sz w:val="24"/>
          <w:lang w:eastAsia="zh-CN"/>
        </w:rPr>
        <w:t>工</w:t>
      </w:r>
      <w:r>
        <w:rPr>
          <w:rFonts w:hint="eastAsia" w:ascii="仿宋" w:hAnsi="仿宋" w:eastAsia="仿宋" w:cs="仿宋"/>
          <w:color w:val="auto"/>
          <w:sz w:val="24"/>
        </w:rPr>
        <w:t>用餐需求</w:t>
      </w:r>
      <w:r>
        <w:rPr>
          <w:rFonts w:hint="eastAsia" w:ascii="仿宋" w:hAnsi="仿宋" w:eastAsia="仿宋" w:cs="仿宋"/>
          <w:color w:val="auto"/>
          <w:sz w:val="24"/>
          <w:lang w:eastAsia="zh-CN"/>
        </w:rPr>
        <w:t>及</w:t>
      </w:r>
      <w:r>
        <w:rPr>
          <w:rFonts w:hint="eastAsia" w:ascii="仿宋" w:hAnsi="仿宋" w:eastAsia="仿宋" w:cs="仿宋"/>
          <w:color w:val="auto"/>
          <w:sz w:val="24"/>
        </w:rPr>
        <w:t>保证医院医患的用餐需求。</w:t>
      </w:r>
      <w:r>
        <w:rPr>
          <w:rFonts w:hint="eastAsia" w:ascii="仿宋" w:hAnsi="仿宋" w:eastAsia="仿宋" w:cs="仿宋"/>
          <w:color w:val="auto"/>
          <w:sz w:val="24"/>
          <w:lang w:eastAsia="zh-CN"/>
        </w:rPr>
        <w:t>员工、医患及园区其他人就餐均遵循自愿原则，中标人以质量赢得顾客。</w:t>
      </w:r>
    </w:p>
    <w:p>
      <w:pPr>
        <w:numPr>
          <w:ilvl w:val="-1"/>
          <w:numId w:val="0"/>
        </w:numPr>
        <w:snapToGrid/>
        <w:spacing w:line="436"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（2）用餐时间要求：早餐7:00-9:30；午餐11:30-13:00；晚餐17:00-19:00；中标方需按照规定时间准时开餐，不得无故提前或拖延开餐时间。招标方可根据工作需要，向中标方提出变更就餐时间。</w:t>
      </w:r>
    </w:p>
    <w:p>
      <w:pPr>
        <w:numPr>
          <w:ilvl w:val="-1"/>
          <w:numId w:val="0"/>
        </w:numPr>
        <w:snapToGrid/>
        <w:spacing w:line="436" w:lineRule="exact"/>
        <w:ind w:firstLine="480" w:firstLineChars="200"/>
        <w:jc w:val="left"/>
        <w:rPr>
          <w:rFonts w:hint="eastAsia" w:ascii="仿宋" w:hAnsi="仿宋" w:eastAsia="仿宋" w:cs="仿宋"/>
          <w:b w:val="0"/>
          <w:bCs w:val="0"/>
          <w:color w:val="auto"/>
          <w:sz w:val="24"/>
          <w:lang w:val="en-US"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3</w:t>
      </w: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lang w:val="en-US" w:eastAsia="zh-CN"/>
        </w:rPr>
        <w:t>招标方就该食堂对投标人收取场地预缴租金不低于3万/年，以投标人报价为准，公司综合管理部牵头每季度将组织相关人员对食堂的卫生状况、饭菜质量、服务态度、饭菜价格及食堂管理等方面进行综合考核评分，最终考核评分以每季度得分平均值为准，公司将按照得分情况对项目承包方进行租金返还，具体标准为：考评得分95分（含）以上者公司将全额返还项目年租金，考评得分95分-90分（含）以上者公司将按80%返还项目年租金；考评得分90分-80分（含）以上者公司将按50%返还项目年租金；考评得分低于80分者公司将不再返还项目年租金；</w:t>
      </w:r>
      <w:r>
        <w:rPr>
          <w:rFonts w:hint="eastAsia" w:ascii="仿宋" w:hAnsi="仿宋" w:eastAsia="仿宋" w:cs="仿宋"/>
          <w:color w:val="auto"/>
          <w:sz w:val="24"/>
          <w:lang w:bidi="ar"/>
        </w:rPr>
        <w:t>连续两个季度低于</w:t>
      </w:r>
      <w:r>
        <w:rPr>
          <w:rFonts w:hint="eastAsia" w:ascii="仿宋" w:hAnsi="仿宋" w:eastAsia="仿宋" w:cs="仿宋"/>
          <w:color w:val="auto"/>
          <w:sz w:val="24"/>
        </w:rPr>
        <w:t>60</w:t>
      </w:r>
      <w:r>
        <w:rPr>
          <w:rFonts w:hint="eastAsia" w:ascii="仿宋" w:hAnsi="仿宋" w:eastAsia="仿宋" w:cs="仿宋"/>
          <w:color w:val="auto"/>
          <w:sz w:val="24"/>
          <w:lang w:eastAsia="zh-CN"/>
        </w:rPr>
        <w:t>分</w:t>
      </w:r>
      <w:r>
        <w:rPr>
          <w:rFonts w:hint="eastAsia" w:ascii="仿宋" w:hAnsi="仿宋" w:eastAsia="仿宋" w:cs="仿宋"/>
          <w:color w:val="auto"/>
          <w:sz w:val="24"/>
        </w:rPr>
        <w:t>以下者，</w:t>
      </w:r>
      <w:r>
        <w:rPr>
          <w:rFonts w:hint="eastAsia" w:ascii="仿宋" w:hAnsi="仿宋" w:eastAsia="仿宋" w:cs="仿宋"/>
          <w:color w:val="auto"/>
          <w:sz w:val="24"/>
          <w:lang w:eastAsia="zh-CN"/>
        </w:rPr>
        <w:t>公司</w:t>
      </w:r>
      <w:r>
        <w:rPr>
          <w:rFonts w:hint="eastAsia" w:ascii="仿宋" w:hAnsi="仿宋" w:eastAsia="仿宋" w:cs="仿宋"/>
          <w:color w:val="auto"/>
          <w:sz w:val="24"/>
        </w:rPr>
        <w:t>有权提前终止合作关系并不退还</w:t>
      </w:r>
      <w:r>
        <w:rPr>
          <w:rFonts w:hint="eastAsia" w:ascii="仿宋" w:hAnsi="仿宋" w:eastAsia="仿宋" w:cs="仿宋"/>
          <w:color w:val="auto"/>
          <w:sz w:val="24"/>
          <w:lang w:eastAsia="zh-CN"/>
        </w:rPr>
        <w:t>项目年租金和</w:t>
      </w:r>
      <w:r>
        <w:rPr>
          <w:rFonts w:hint="eastAsia" w:ascii="仿宋" w:hAnsi="仿宋" w:eastAsia="仿宋" w:cs="仿宋"/>
          <w:color w:val="auto"/>
          <w:sz w:val="24"/>
        </w:rPr>
        <w:t>履约保证金。</w:t>
      </w:r>
      <w:r>
        <w:rPr>
          <w:rFonts w:hint="eastAsia" w:ascii="仿宋" w:hAnsi="仿宋" w:eastAsia="仿宋" w:cs="仿宋"/>
          <w:b w:val="0"/>
          <w:bCs w:val="0"/>
          <w:color w:val="auto"/>
          <w:sz w:val="24"/>
          <w:lang w:val="en-US" w:eastAsia="zh-CN"/>
        </w:rPr>
        <w:t>同时项目保证金及管理费按正常收费标准收取（物业费、水、电、燃气费、空调费、AP六个点等）。</w:t>
      </w:r>
    </w:p>
    <w:p>
      <w:pPr>
        <w:numPr>
          <w:ilvl w:val="-1"/>
          <w:numId w:val="0"/>
        </w:numPr>
        <w:snapToGrid w:val="0"/>
        <w:spacing w:line="436" w:lineRule="exact"/>
        <w:ind w:firstLine="480" w:firstLineChars="200"/>
        <w:jc w:val="left"/>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（4）中标人同意接收并支付上家承包方在经营期间所添置的设备设施及食堂现有设备设施使用费（所有设备设施将折旧后进行报价，投标人可在投标前对现有情况进行实际勘查）。</w:t>
      </w:r>
    </w:p>
    <w:p>
      <w:pPr>
        <w:numPr>
          <w:ilvl w:val="0"/>
          <w:numId w:val="0"/>
        </w:numPr>
        <w:snapToGrid w:val="0"/>
        <w:spacing w:line="420" w:lineRule="exact"/>
        <w:ind w:firstLine="480" w:firstLineChars="200"/>
        <w:rPr>
          <w:rFonts w:hint="eastAsia" w:eastAsia="仿宋"/>
          <w:b w:val="0"/>
          <w:bCs w:val="0"/>
          <w:lang w:eastAsia="zh-CN"/>
        </w:rPr>
      </w:pPr>
      <w:r>
        <w:rPr>
          <w:rFonts w:hint="eastAsia" w:ascii="仿宋" w:hAnsi="仿宋" w:eastAsia="仿宋" w:cs="仿宋"/>
          <w:b w:val="0"/>
          <w:bCs w:val="0"/>
          <w:color w:val="auto"/>
          <w:sz w:val="24"/>
          <w:lang w:val="en-US" w:eastAsia="zh-CN"/>
        </w:rPr>
        <w:t>（5）中标方如需在项目内添置设备设施或者装修改造的，所产生的费用由中标方自行承担，装修改造需征得甲方同意，不得对甲方建筑物整体布局及安全造成不良影响或损坏。</w:t>
      </w:r>
    </w:p>
    <w:p>
      <w:pPr>
        <w:numPr>
          <w:ilvl w:val="0"/>
          <w:numId w:val="1"/>
        </w:numPr>
        <w:snapToGrid w:val="0"/>
        <w:spacing w:line="420" w:lineRule="exact"/>
        <w:ind w:firstLine="482" w:firstLineChars="200"/>
        <w:rPr>
          <w:rFonts w:ascii="仿宋" w:hAnsi="仿宋" w:eastAsia="仿宋" w:cs="仿宋"/>
          <w:b/>
          <w:color w:val="auto"/>
          <w:sz w:val="24"/>
        </w:rPr>
      </w:pPr>
      <w:r>
        <w:rPr>
          <w:rFonts w:hint="eastAsia" w:ascii="仿宋" w:hAnsi="仿宋" w:eastAsia="仿宋" w:cs="仿宋"/>
          <w:b/>
          <w:color w:val="auto"/>
          <w:sz w:val="24"/>
          <w:lang w:eastAsia="zh-CN"/>
        </w:rPr>
        <w:t>经营</w:t>
      </w:r>
      <w:r>
        <w:rPr>
          <w:rFonts w:hint="eastAsia" w:ascii="仿宋" w:hAnsi="仿宋" w:eastAsia="仿宋" w:cs="仿宋"/>
          <w:b/>
          <w:color w:val="auto"/>
          <w:sz w:val="24"/>
        </w:rPr>
        <w:t>模式（详见项目情况说明及要求）</w:t>
      </w:r>
    </w:p>
    <w:p>
      <w:pPr>
        <w:snapToGrid w:val="0"/>
        <w:spacing w:line="42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中标人自主</w:t>
      </w:r>
      <w:r>
        <w:rPr>
          <w:rFonts w:hint="eastAsia" w:ascii="仿宋" w:hAnsi="仿宋" w:eastAsia="仿宋" w:cs="仿宋"/>
          <w:color w:val="auto"/>
          <w:sz w:val="24"/>
        </w:rPr>
        <w:t>经营，招标人有监督权。</w:t>
      </w:r>
    </w:p>
    <w:p>
      <w:pPr>
        <w:numPr>
          <w:ilvl w:val="-1"/>
          <w:numId w:val="0"/>
        </w:numPr>
        <w:snapToGrid w:val="0"/>
        <w:spacing w:line="420" w:lineRule="exact"/>
        <w:ind w:firstLine="480" w:firstLineChars="200"/>
        <w:rPr>
          <w:rFonts w:hint="eastAsia"/>
          <w:lang w:eastAsia="zh-CN"/>
        </w:rPr>
      </w:pPr>
      <w:r>
        <w:rPr>
          <w:rFonts w:hint="eastAsia" w:ascii="仿宋" w:hAnsi="仿宋" w:eastAsia="仿宋" w:cs="仿宋"/>
          <w:color w:val="auto"/>
          <w:sz w:val="24"/>
          <w:lang w:val="en-US" w:eastAsia="zh-CN"/>
        </w:rPr>
        <w:t>6、</w:t>
      </w:r>
      <w:r>
        <w:rPr>
          <w:rFonts w:hint="eastAsia" w:ascii="仿宋" w:hAnsi="仿宋" w:eastAsia="仿宋" w:cs="仿宋"/>
          <w:b/>
          <w:bCs/>
          <w:color w:val="auto"/>
          <w:sz w:val="24"/>
        </w:rPr>
        <w:t>合同期限：</w:t>
      </w:r>
      <w:r>
        <w:rPr>
          <w:rFonts w:hint="eastAsia" w:ascii="仿宋" w:hAnsi="仿宋" w:eastAsia="仿宋" w:cs="仿宋"/>
          <w:b w:val="0"/>
          <w:bCs w:val="0"/>
          <w:color w:val="auto"/>
          <w:sz w:val="24"/>
        </w:rPr>
        <w:t>经营</w:t>
      </w:r>
      <w:r>
        <w:rPr>
          <w:rFonts w:hint="eastAsia" w:ascii="仿宋" w:hAnsi="仿宋" w:eastAsia="仿宋" w:cs="仿宋"/>
          <w:bCs/>
          <w:color w:val="auto"/>
          <w:sz w:val="24"/>
        </w:rPr>
        <w:t>期限</w:t>
      </w:r>
      <w:r>
        <w:rPr>
          <w:rFonts w:hint="eastAsia" w:ascii="仿宋" w:hAnsi="仿宋" w:eastAsia="仿宋" w:cs="仿宋"/>
          <w:bCs/>
          <w:color w:val="auto"/>
          <w:sz w:val="24"/>
          <w:lang w:val="en-US" w:eastAsia="zh-CN"/>
        </w:rPr>
        <w:t>5</w:t>
      </w:r>
      <w:r>
        <w:rPr>
          <w:rFonts w:hint="eastAsia" w:ascii="仿宋" w:hAnsi="仿宋" w:eastAsia="仿宋" w:cs="仿宋"/>
          <w:bCs/>
          <w:color w:val="auto"/>
          <w:sz w:val="24"/>
        </w:rPr>
        <w:t>年。</w:t>
      </w:r>
    </w:p>
    <w:p>
      <w:pPr>
        <w:pStyle w:val="13"/>
        <w:spacing w:line="420" w:lineRule="exact"/>
        <w:rPr>
          <w:rFonts w:ascii="仿宋" w:hAnsi="仿宋" w:eastAsia="仿宋" w:cs="仿宋"/>
          <w:b/>
          <w:bCs/>
          <w:color w:val="auto"/>
          <w:sz w:val="24"/>
          <w:szCs w:val="24"/>
        </w:rPr>
      </w:pPr>
      <w:r>
        <w:rPr>
          <w:rFonts w:hint="eastAsia" w:ascii="仿宋" w:hAnsi="仿宋" w:eastAsia="仿宋" w:cs="仿宋"/>
          <w:b/>
          <w:bCs/>
          <w:color w:val="auto"/>
          <w:sz w:val="24"/>
          <w:szCs w:val="24"/>
        </w:rPr>
        <w:t>二、投标人资格要求</w:t>
      </w:r>
    </w:p>
    <w:p>
      <w:pPr>
        <w:spacing w:line="420" w:lineRule="exact"/>
        <w:ind w:firstLine="482" w:firstLineChars="200"/>
        <w:rPr>
          <w:rFonts w:ascii="仿宋" w:hAnsi="仿宋" w:eastAsia="仿宋" w:cs="仿宋"/>
          <w:bCs/>
          <w:color w:val="auto"/>
          <w:sz w:val="24"/>
        </w:rPr>
      </w:pPr>
      <w:r>
        <w:rPr>
          <w:rFonts w:hint="eastAsia" w:ascii="仿宋" w:hAnsi="仿宋" w:eastAsia="仿宋" w:cs="仿宋"/>
          <w:b/>
          <w:color w:val="auto"/>
          <w:sz w:val="24"/>
        </w:rPr>
        <w:t>基本资格条件：</w:t>
      </w:r>
    </w:p>
    <w:p>
      <w:pPr>
        <w:numPr>
          <w:ilvl w:val="255"/>
          <w:numId w:val="0"/>
        </w:numPr>
        <w:spacing w:line="4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（1）法人提交企业法人营业执照副本(或者法人登记证书)以及组织机构代码证副本复印件；</w:t>
      </w:r>
    </w:p>
    <w:p>
      <w:pPr>
        <w:numPr>
          <w:ilvl w:val="255"/>
          <w:numId w:val="0"/>
        </w:numPr>
        <w:spacing w:line="420" w:lineRule="exact"/>
        <w:ind w:firstLine="480" w:firstLineChars="200"/>
        <w:rPr>
          <w:rFonts w:ascii="仿宋" w:hAnsi="仿宋" w:eastAsia="仿宋" w:cs="仿宋"/>
          <w:bCs/>
          <w:color w:val="auto"/>
          <w:sz w:val="24"/>
        </w:rPr>
      </w:pPr>
      <w:r>
        <w:rPr>
          <w:rFonts w:hint="eastAsia" w:ascii="仿宋" w:hAnsi="仿宋" w:eastAsia="仿宋" w:cs="仿宋"/>
          <w:color w:val="auto"/>
          <w:sz w:val="24"/>
        </w:rPr>
        <w:t>（2）食品经营许可证复印件；</w:t>
      </w:r>
    </w:p>
    <w:p>
      <w:pPr>
        <w:spacing w:line="4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（3）依法缴纳税收和社会保险费的证明材料:</w:t>
      </w:r>
    </w:p>
    <w:p>
      <w:pPr>
        <w:spacing w:line="4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①缴纳税收证明资料:《税务登记证》复印件，或者近三个月依法缴纳税收的证明（纳税凭证复印件），或者委托他人缴纳的委托代办协议和近三个月的缴纳证明（收据复印件），或者法定征收机关出具的依法免缴税收的证明原件。</w:t>
      </w:r>
    </w:p>
    <w:p>
      <w:pPr>
        <w:spacing w:line="4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②缴纳社会保险证明资料：《社会保险登记证》复印件，或者近三个月依法缴纳社会保险的证明（缴费凭证复印件），或者委托他人缴纳的委托代办协议和近三个月的缴纳证明（收据复印件），或者法定征收机关出具的依法免缴保险费的证明原件。</w:t>
      </w:r>
    </w:p>
    <w:p>
      <w:p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③法定代表人身份证明书原件或者法定代表人授权委托书原件及附法定代表人身份证明复印件；</w:t>
      </w:r>
    </w:p>
    <w:p>
      <w:pPr>
        <w:spacing w:line="42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（4）食堂经理、厨师长、食品卫生安全管理员的个人简历（主要从事餐饮经营管理的经历，需加盖公章，提供近三个月社保缴纳凭证）；身份证复印件；健康证明复印件。</w:t>
      </w:r>
    </w:p>
    <w:p>
      <w:pPr>
        <w:shd w:val="clear"/>
        <w:spacing w:before="0" w:line="420" w:lineRule="exact"/>
        <w:ind w:firstLine="480" w:firstLineChars="200"/>
        <w:rPr>
          <w:rFonts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（5）与招标人存在利害关系可能影响招标公正性的法人、其他组织或者个人，不得参与投标。单位负责人为同一人或者存在控股、管理关系的不同单位，不得参加同一招标项目投标。</w:t>
      </w:r>
    </w:p>
    <w:p>
      <w:pPr>
        <w:numPr>
          <w:ilvl w:val="0"/>
          <w:numId w:val="2"/>
        </w:num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在国家企业信用系统中有不良记录的企业，禁止参加与本项目投标。</w:t>
      </w:r>
    </w:p>
    <w:p>
      <w:pPr>
        <w:numPr>
          <w:ilvl w:val="0"/>
          <w:numId w:val="2"/>
        </w:num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其他：</w:t>
      </w:r>
    </w:p>
    <w:p>
      <w:p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①经工商注册为独立法人资格的社会餐饮企业，卫生、食品安全、餐饮服务、健康等许可证照合法齐全，注册资金100万元以上。近三年内有从事团餐餐饮经营服务的经历，以往经营过程中无食物中毒等食品安全事故发生。</w:t>
      </w:r>
    </w:p>
    <w:p>
      <w:pPr>
        <w:spacing w:line="420" w:lineRule="exact"/>
        <w:ind w:firstLine="480" w:firstLineChars="200"/>
        <w:rPr>
          <w:rFonts w:ascii="仿宋" w:hAnsi="仿宋" w:eastAsia="仿宋" w:cs="仿宋"/>
          <w:color w:val="auto"/>
          <w:sz w:val="24"/>
        </w:rPr>
      </w:pPr>
      <w:r>
        <w:rPr>
          <w:rFonts w:hint="eastAsia" w:ascii="仿宋" w:hAnsi="仿宋" w:eastAsia="仿宋" w:cs="仿宋"/>
          <w:bCs/>
          <w:color w:val="auto"/>
          <w:sz w:val="24"/>
        </w:rPr>
        <w:t>②</w:t>
      </w:r>
      <w:r>
        <w:rPr>
          <w:rFonts w:hint="eastAsia" w:ascii="仿宋" w:hAnsi="仿宋" w:eastAsia="仿宋" w:cs="仿宋"/>
          <w:color w:val="auto"/>
          <w:sz w:val="24"/>
        </w:rPr>
        <w:t>投标受托人必须是餐饮企业的法定代表人或餐饮企业的授权委托人，授权委托人必须具有两年以上从事餐饮管理服务的经验，提供相关合同复印并加盖单位公章</w:t>
      </w:r>
      <w:r>
        <w:rPr>
          <w:rFonts w:hint="eastAsia" w:ascii="仿宋" w:hAnsi="仿宋" w:eastAsia="仿宋" w:cs="仿宋"/>
          <w:color w:val="auto"/>
          <w:sz w:val="24"/>
          <w:lang w:eastAsia="zh-CN"/>
        </w:rPr>
        <w:t>，</w:t>
      </w:r>
      <w:r>
        <w:rPr>
          <w:rFonts w:hint="eastAsia" w:ascii="仿宋" w:hAnsi="仿宋" w:eastAsia="仿宋" w:cs="仿宋"/>
          <w:color w:val="auto"/>
          <w:sz w:val="24"/>
        </w:rPr>
        <w:t>食堂、消防管理经验相关证明资料；携原件备查。经查实提供的证明资料存在弄虚作假的，视为无效中标，后果自负。</w:t>
      </w:r>
    </w:p>
    <w:p>
      <w:pPr>
        <w:pStyle w:val="15"/>
        <w:spacing w:line="420" w:lineRule="exact"/>
        <w:rPr>
          <w:rFonts w:ascii="仿宋" w:hAnsi="仿宋" w:eastAsia="仿宋" w:cs="仿宋"/>
          <w:b/>
          <w:color w:val="auto"/>
          <w:sz w:val="24"/>
        </w:rPr>
      </w:pPr>
      <w:r>
        <w:rPr>
          <w:rFonts w:hint="eastAsia" w:ascii="仿宋" w:hAnsi="仿宋" w:eastAsia="仿宋" w:cs="仿宋"/>
          <w:b/>
          <w:color w:val="auto"/>
          <w:sz w:val="24"/>
        </w:rPr>
        <w:t>注：招标文件及招标公告中所有涉及近三个月的指202</w:t>
      </w:r>
      <w:r>
        <w:rPr>
          <w:rFonts w:hint="eastAsia" w:ascii="仿宋" w:hAnsi="仿宋" w:eastAsia="仿宋" w:cs="仿宋"/>
          <w:b/>
          <w:color w:val="auto"/>
          <w:sz w:val="24"/>
          <w:lang w:val="en-US" w:eastAsia="zh-CN"/>
        </w:rPr>
        <w:t>1</w:t>
      </w:r>
      <w:r>
        <w:rPr>
          <w:rFonts w:hint="eastAsia" w:ascii="仿宋" w:hAnsi="仿宋" w:eastAsia="仿宋" w:cs="仿宋"/>
          <w:b/>
          <w:color w:val="auto"/>
          <w:sz w:val="24"/>
        </w:rPr>
        <w:t>年</w:t>
      </w:r>
      <w:r>
        <w:rPr>
          <w:rFonts w:hint="eastAsia" w:ascii="仿宋" w:hAnsi="仿宋" w:eastAsia="仿宋" w:cs="仿宋"/>
          <w:b/>
          <w:color w:val="auto"/>
          <w:sz w:val="24"/>
          <w:lang w:val="en-US" w:eastAsia="zh-CN"/>
        </w:rPr>
        <w:t>9</w:t>
      </w:r>
      <w:r>
        <w:rPr>
          <w:rFonts w:hint="eastAsia" w:ascii="仿宋" w:hAnsi="仿宋" w:eastAsia="仿宋" w:cs="仿宋"/>
          <w:b/>
          <w:color w:val="auto"/>
          <w:sz w:val="24"/>
        </w:rPr>
        <w:t>-</w:t>
      </w:r>
      <w:r>
        <w:rPr>
          <w:rFonts w:hint="eastAsia" w:ascii="仿宋" w:hAnsi="仿宋" w:eastAsia="仿宋" w:cs="仿宋"/>
          <w:b/>
          <w:color w:val="auto"/>
          <w:sz w:val="24"/>
          <w:lang w:val="en-US" w:eastAsia="zh-CN"/>
        </w:rPr>
        <w:t>12</w:t>
      </w:r>
      <w:r>
        <w:rPr>
          <w:rFonts w:hint="eastAsia" w:ascii="仿宋" w:hAnsi="仿宋" w:eastAsia="仿宋" w:cs="仿宋"/>
          <w:b/>
          <w:color w:val="auto"/>
          <w:sz w:val="24"/>
        </w:rPr>
        <w:t>月。</w:t>
      </w:r>
    </w:p>
    <w:p>
      <w:pPr>
        <w:tabs>
          <w:tab w:val="left" w:pos="7920"/>
        </w:tabs>
        <w:spacing w:line="420" w:lineRule="exact"/>
        <w:ind w:right="15" w:rightChars="7"/>
        <w:rPr>
          <w:rFonts w:ascii="仿宋" w:hAnsi="仿宋" w:eastAsia="仿宋" w:cs="仿宋"/>
          <w:b/>
          <w:color w:val="auto"/>
          <w:sz w:val="24"/>
        </w:rPr>
      </w:pPr>
      <w:r>
        <w:rPr>
          <w:rFonts w:hint="eastAsia" w:ascii="仿宋" w:hAnsi="仿宋" w:eastAsia="仿宋" w:cs="仿宋"/>
          <w:b/>
          <w:color w:val="auto"/>
          <w:sz w:val="24"/>
        </w:rPr>
        <w:t>四、资格审查方式</w:t>
      </w:r>
    </w:p>
    <w:p>
      <w:pPr>
        <w:tabs>
          <w:tab w:val="left" w:pos="7920"/>
        </w:tabs>
        <w:spacing w:line="420" w:lineRule="exact"/>
        <w:ind w:right="15" w:rightChars="7" w:firstLine="470" w:firstLineChars="196"/>
        <w:rPr>
          <w:rFonts w:ascii="仿宋" w:hAnsi="仿宋" w:eastAsia="仿宋" w:cs="仿宋"/>
          <w:b/>
          <w:color w:val="auto"/>
          <w:sz w:val="24"/>
        </w:rPr>
      </w:pPr>
      <w:r>
        <w:rPr>
          <w:rFonts w:hint="eastAsia" w:ascii="仿宋" w:hAnsi="仿宋" w:eastAsia="仿宋" w:cs="仿宋"/>
          <w:color w:val="auto"/>
          <w:sz w:val="24"/>
        </w:rPr>
        <w:t>本项目资格审查方式采用资格后审，由招标人对投标人进行资格审查。</w:t>
      </w:r>
    </w:p>
    <w:p>
      <w:pPr>
        <w:tabs>
          <w:tab w:val="left" w:pos="7920"/>
        </w:tabs>
        <w:spacing w:line="420" w:lineRule="exact"/>
        <w:ind w:right="15" w:rightChars="7"/>
        <w:rPr>
          <w:rFonts w:ascii="仿宋" w:hAnsi="仿宋" w:eastAsia="仿宋" w:cs="仿宋"/>
          <w:b/>
          <w:color w:val="auto"/>
          <w:sz w:val="24"/>
        </w:rPr>
      </w:pPr>
      <w:r>
        <w:rPr>
          <w:rFonts w:hint="eastAsia" w:ascii="仿宋" w:hAnsi="仿宋" w:eastAsia="仿宋" w:cs="仿宋"/>
          <w:b/>
          <w:color w:val="auto"/>
          <w:sz w:val="24"/>
        </w:rPr>
        <w:t>五、评标办法</w:t>
      </w:r>
    </w:p>
    <w:p>
      <w:pPr>
        <w:tabs>
          <w:tab w:val="left" w:pos="7920"/>
        </w:tabs>
        <w:spacing w:line="420" w:lineRule="exact"/>
        <w:ind w:right="15" w:rightChars="7" w:firstLine="470" w:firstLineChars="196"/>
        <w:rPr>
          <w:rFonts w:ascii="仿宋" w:hAnsi="仿宋" w:eastAsia="仿宋" w:cs="仿宋"/>
          <w:b/>
          <w:color w:val="auto"/>
          <w:sz w:val="24"/>
        </w:rPr>
      </w:pPr>
      <w:r>
        <w:rPr>
          <w:rFonts w:hint="eastAsia" w:ascii="仿宋" w:hAnsi="仿宋" w:eastAsia="仿宋" w:cs="仿宋"/>
          <w:color w:val="auto"/>
          <w:sz w:val="24"/>
        </w:rPr>
        <w:t>本项目评标办法采用综合评分法。</w:t>
      </w:r>
    </w:p>
    <w:p>
      <w:pPr>
        <w:tabs>
          <w:tab w:val="left" w:pos="7920"/>
        </w:tabs>
        <w:spacing w:line="420" w:lineRule="exact"/>
        <w:ind w:right="15" w:rightChars="7"/>
        <w:rPr>
          <w:rFonts w:ascii="仿宋" w:hAnsi="仿宋" w:eastAsia="仿宋" w:cs="仿宋"/>
          <w:b/>
          <w:color w:val="auto"/>
          <w:sz w:val="24"/>
        </w:rPr>
      </w:pPr>
      <w:r>
        <w:rPr>
          <w:rFonts w:hint="eastAsia" w:ascii="仿宋" w:hAnsi="仿宋" w:eastAsia="仿宋" w:cs="仿宋"/>
          <w:b/>
          <w:color w:val="auto"/>
          <w:sz w:val="24"/>
        </w:rPr>
        <w:t>六、</w:t>
      </w:r>
      <w:r>
        <w:rPr>
          <w:rFonts w:hint="eastAsia" w:ascii="仿宋" w:hAnsi="仿宋" w:eastAsia="仿宋" w:cs="仿宋"/>
          <w:b/>
          <w:bCs/>
          <w:iCs/>
          <w:color w:val="auto"/>
          <w:sz w:val="24"/>
        </w:rPr>
        <w:t>招标文件的获取</w:t>
      </w:r>
    </w:p>
    <w:p>
      <w:p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凡有意参加投标者，请从202</w:t>
      </w:r>
      <w:r>
        <w:rPr>
          <w:rFonts w:hint="eastAsia" w:ascii="仿宋" w:hAnsi="仿宋" w:eastAsia="仿宋" w:cs="仿宋"/>
          <w:color w:val="auto"/>
          <w:sz w:val="24"/>
          <w:lang w:val="en-US" w:eastAsia="zh-CN"/>
        </w:rPr>
        <w:t>2</w:t>
      </w:r>
      <w:r>
        <w:rPr>
          <w:rFonts w:hint="eastAsia" w:ascii="仿宋" w:hAnsi="仿宋" w:eastAsia="仿宋" w:cs="仿宋"/>
          <w:color w:val="auto"/>
          <w:sz w:val="24"/>
        </w:rPr>
        <w:t>年</w:t>
      </w:r>
      <w:r>
        <w:rPr>
          <w:rFonts w:hint="eastAsia" w:ascii="仿宋" w:hAnsi="仿宋" w:eastAsia="仿宋" w:cs="仿宋"/>
          <w:color w:val="auto"/>
          <w:sz w:val="24"/>
          <w:lang w:val="en-US" w:eastAsia="zh-CN"/>
        </w:rPr>
        <w:t>2</w:t>
      </w:r>
      <w:r>
        <w:rPr>
          <w:rFonts w:hint="eastAsia" w:ascii="仿宋" w:hAnsi="仿宋" w:eastAsia="仿宋" w:cs="仿宋"/>
          <w:color w:val="auto"/>
          <w:sz w:val="24"/>
        </w:rPr>
        <w:t>月</w:t>
      </w:r>
      <w:r>
        <w:rPr>
          <w:rFonts w:hint="eastAsia" w:ascii="仿宋" w:hAnsi="仿宋" w:eastAsia="仿宋" w:cs="仿宋"/>
          <w:color w:val="auto"/>
          <w:sz w:val="24"/>
          <w:lang w:val="en-US" w:eastAsia="zh-CN"/>
        </w:rPr>
        <w:t>16</w:t>
      </w:r>
      <w:r>
        <w:rPr>
          <w:rFonts w:hint="eastAsia" w:ascii="仿宋" w:hAnsi="仿宋" w:eastAsia="仿宋" w:cs="仿宋"/>
          <w:color w:val="auto"/>
          <w:sz w:val="24"/>
        </w:rPr>
        <w:t>日起（北京时间，下同）</w:t>
      </w:r>
      <w:r>
        <w:rPr>
          <w:rFonts w:hint="eastAsia" w:ascii="仿宋" w:hAnsi="仿宋" w:eastAsia="仿宋" w:cs="仿宋"/>
          <w:color w:val="auto"/>
          <w:sz w:val="24"/>
          <w:lang w:eastAsia="zh-CN"/>
        </w:rPr>
        <w:t>到</w:t>
      </w:r>
      <w:r>
        <w:rPr>
          <w:rFonts w:hint="eastAsia" w:ascii="仿宋" w:hAnsi="仿宋" w:eastAsia="仿宋" w:cs="仿宋"/>
          <w:color w:val="auto"/>
          <w:sz w:val="24"/>
        </w:rPr>
        <w:t>康乃馨网站（ http://www.hnknx.com/）进行网上下载/获取招标文件。通过网络下载，其招标文件与书面招标文件具有同等法律效力。</w:t>
      </w:r>
    </w:p>
    <w:p>
      <w:pPr>
        <w:tabs>
          <w:tab w:val="left" w:pos="7920"/>
        </w:tabs>
        <w:spacing w:line="420" w:lineRule="exact"/>
        <w:ind w:right="15" w:rightChars="7"/>
        <w:rPr>
          <w:rFonts w:ascii="仿宋" w:hAnsi="仿宋" w:eastAsia="仿宋" w:cs="仿宋"/>
          <w:b/>
          <w:color w:val="auto"/>
          <w:sz w:val="24"/>
        </w:rPr>
      </w:pPr>
      <w:r>
        <w:rPr>
          <w:rFonts w:hint="eastAsia" w:ascii="仿宋" w:hAnsi="仿宋" w:eastAsia="仿宋" w:cs="仿宋"/>
          <w:b/>
          <w:color w:val="auto"/>
          <w:sz w:val="24"/>
        </w:rPr>
        <w:t>七、</w:t>
      </w:r>
      <w:r>
        <w:rPr>
          <w:rFonts w:hint="eastAsia" w:ascii="仿宋" w:hAnsi="仿宋" w:eastAsia="仿宋" w:cs="仿宋"/>
          <w:b/>
          <w:bCs/>
          <w:color w:val="auto"/>
          <w:sz w:val="24"/>
        </w:rPr>
        <w:t>投标文件的递交</w:t>
      </w:r>
      <w:r>
        <w:rPr>
          <w:rFonts w:hint="eastAsia" w:ascii="仿宋" w:hAnsi="仿宋" w:eastAsia="仿宋" w:cs="仿宋"/>
          <w:b/>
          <w:bCs/>
          <w:color w:val="auto"/>
          <w:sz w:val="24"/>
          <w:lang w:eastAsia="zh-CN"/>
        </w:rPr>
        <w:t>及开标</w:t>
      </w:r>
      <w:r>
        <w:rPr>
          <w:rFonts w:hint="eastAsia" w:ascii="仿宋" w:hAnsi="仿宋" w:eastAsia="仿宋" w:cs="仿宋"/>
          <w:b/>
          <w:bCs/>
          <w:color w:val="auto"/>
          <w:sz w:val="24"/>
        </w:rPr>
        <w:t xml:space="preserve">  </w:t>
      </w:r>
    </w:p>
    <w:p>
      <w:pPr>
        <w:tabs>
          <w:tab w:val="left" w:pos="7920"/>
        </w:tabs>
        <w:spacing w:line="420" w:lineRule="exact"/>
        <w:ind w:left="-94" w:leftChars="-45" w:right="15" w:rightChars="7" w:firstLine="576" w:firstLineChars="240"/>
        <w:rPr>
          <w:rFonts w:hint="eastAsia" w:eastAsia="仿宋"/>
          <w:lang w:val="en-US" w:eastAsia="zh-CN"/>
        </w:rPr>
      </w:pPr>
      <w:r>
        <w:rPr>
          <w:rFonts w:hint="eastAsia" w:ascii="仿宋" w:hAnsi="仿宋" w:eastAsia="仿宋" w:cs="仿宋"/>
          <w:color w:val="auto"/>
          <w:sz w:val="24"/>
        </w:rPr>
        <w:t>1、投标文件递交的截止时间</w:t>
      </w:r>
      <w:r>
        <w:rPr>
          <w:rFonts w:hint="eastAsia" w:ascii="仿宋" w:hAnsi="仿宋" w:eastAsia="仿宋" w:cs="仿宋"/>
          <w:color w:val="auto"/>
          <w:sz w:val="24"/>
          <w:lang w:val="en-US" w:eastAsia="zh-CN"/>
        </w:rPr>
        <w:t>2022</w:t>
      </w:r>
      <w:r>
        <w:rPr>
          <w:rFonts w:hint="eastAsia" w:ascii="仿宋" w:hAnsi="仿宋" w:eastAsia="仿宋" w:cs="仿宋"/>
          <w:color w:val="auto"/>
          <w:sz w:val="24"/>
        </w:rPr>
        <w:t>年</w:t>
      </w:r>
      <w:r>
        <w:rPr>
          <w:rFonts w:hint="eastAsia" w:ascii="仿宋" w:hAnsi="仿宋" w:eastAsia="仿宋" w:cs="仿宋"/>
          <w:color w:val="auto"/>
          <w:sz w:val="24"/>
          <w:lang w:val="en-US" w:eastAsia="zh-CN"/>
        </w:rPr>
        <w:t>2</w:t>
      </w:r>
      <w:r>
        <w:rPr>
          <w:rFonts w:hint="eastAsia" w:ascii="仿宋" w:hAnsi="仿宋" w:eastAsia="仿宋" w:cs="仿宋"/>
          <w:color w:val="auto"/>
          <w:sz w:val="24"/>
        </w:rPr>
        <w:t>月</w:t>
      </w:r>
      <w:r>
        <w:rPr>
          <w:rFonts w:hint="eastAsia" w:ascii="仿宋" w:hAnsi="仿宋" w:eastAsia="仿宋" w:cs="仿宋"/>
          <w:color w:val="auto"/>
          <w:sz w:val="24"/>
          <w:lang w:val="en-US" w:eastAsia="zh-CN"/>
        </w:rPr>
        <w:t>22</w:t>
      </w:r>
      <w:r>
        <w:rPr>
          <w:rFonts w:hint="eastAsia" w:ascii="仿宋" w:hAnsi="仿宋" w:eastAsia="仿宋" w:cs="仿宋"/>
          <w:color w:val="auto"/>
          <w:sz w:val="24"/>
        </w:rPr>
        <w:t>日9</w:t>
      </w:r>
      <w:r>
        <w:rPr>
          <w:rFonts w:hint="eastAsia" w:ascii="仿宋" w:hAnsi="仿宋" w:eastAsia="仿宋" w:cs="仿宋"/>
          <w:color w:val="auto"/>
          <w:sz w:val="24"/>
          <w:lang w:val="en-US" w:eastAsia="zh-CN"/>
        </w:rPr>
        <w:t>:</w:t>
      </w:r>
      <w:r>
        <w:rPr>
          <w:rFonts w:hint="eastAsia" w:ascii="仿宋" w:hAnsi="仿宋" w:eastAsia="仿宋" w:cs="仿宋"/>
          <w:color w:val="auto"/>
          <w:sz w:val="24"/>
        </w:rPr>
        <w:t>00（投标截止时间，下同）</w:t>
      </w:r>
      <w:r>
        <w:rPr>
          <w:rFonts w:hint="eastAsia" w:ascii="仿宋" w:hAnsi="仿宋" w:eastAsia="仿宋" w:cs="仿宋"/>
          <w:color w:val="auto"/>
          <w:sz w:val="24"/>
          <w:lang w:val="en-US" w:eastAsia="zh-CN"/>
        </w:rPr>
        <w:t>投标文件递交地点及联系人详见招标公告第八条</w:t>
      </w:r>
    </w:p>
    <w:p>
      <w:pPr>
        <w:tabs>
          <w:tab w:val="left" w:pos="7920"/>
        </w:tabs>
        <w:spacing w:line="420" w:lineRule="exact"/>
        <w:ind w:left="-94" w:leftChars="-45" w:right="15" w:rightChars="7" w:firstLine="576" w:firstLineChars="240"/>
        <w:rPr>
          <w:rFonts w:hint="eastAsia" w:ascii="仿宋" w:hAnsi="仿宋" w:eastAsia="仿宋" w:cs="仿宋"/>
          <w:color w:val="auto"/>
          <w:sz w:val="24"/>
        </w:rPr>
      </w:pPr>
      <w:r>
        <w:rPr>
          <w:rFonts w:hint="eastAsia" w:ascii="仿宋" w:hAnsi="仿宋" w:eastAsia="仿宋" w:cs="仿宋"/>
          <w:color w:val="auto"/>
          <w:sz w:val="24"/>
        </w:rPr>
        <w:t>2、逾期送达的或者未送达指定地点或未按要求密封的投标文件，招标人不予受理。</w:t>
      </w:r>
    </w:p>
    <w:p>
      <w:pPr>
        <w:tabs>
          <w:tab w:val="left" w:pos="7920"/>
        </w:tabs>
        <w:spacing w:line="420" w:lineRule="exact"/>
        <w:ind w:left="-94" w:leftChars="-45" w:right="15" w:rightChars="7" w:firstLine="576" w:firstLineChars="24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w:t>
      </w:r>
      <w:r>
        <w:rPr>
          <w:rFonts w:hint="eastAsia" w:ascii="仿宋" w:hAnsi="仿宋" w:eastAsia="仿宋" w:cs="仿宋"/>
          <w:color w:val="auto"/>
          <w:sz w:val="24"/>
        </w:rPr>
        <w:t>开标时间为20</w:t>
      </w:r>
      <w:r>
        <w:rPr>
          <w:rFonts w:hint="eastAsia" w:ascii="仿宋" w:hAnsi="仿宋" w:eastAsia="仿宋" w:cs="仿宋"/>
          <w:color w:val="auto"/>
          <w:sz w:val="24"/>
          <w:lang w:val="en-US" w:eastAsia="zh-CN"/>
        </w:rPr>
        <w:t>22</w:t>
      </w:r>
      <w:r>
        <w:rPr>
          <w:rFonts w:hint="eastAsia" w:ascii="仿宋" w:hAnsi="仿宋" w:eastAsia="仿宋" w:cs="仿宋"/>
          <w:color w:val="auto"/>
          <w:sz w:val="24"/>
        </w:rPr>
        <w:t>年</w:t>
      </w:r>
      <w:r>
        <w:rPr>
          <w:rFonts w:hint="eastAsia" w:ascii="仿宋" w:hAnsi="仿宋" w:eastAsia="仿宋" w:cs="仿宋"/>
          <w:color w:val="auto"/>
          <w:sz w:val="24"/>
          <w:lang w:val="en-US" w:eastAsia="zh-CN"/>
        </w:rPr>
        <w:t>2</w:t>
      </w:r>
      <w:r>
        <w:rPr>
          <w:rFonts w:hint="eastAsia" w:ascii="仿宋" w:hAnsi="仿宋" w:eastAsia="仿宋" w:cs="仿宋"/>
          <w:color w:val="auto"/>
          <w:sz w:val="24"/>
        </w:rPr>
        <w:t>月</w:t>
      </w:r>
      <w:r>
        <w:rPr>
          <w:rFonts w:hint="eastAsia" w:ascii="仿宋" w:hAnsi="仿宋" w:eastAsia="仿宋" w:cs="仿宋"/>
          <w:color w:val="auto"/>
          <w:sz w:val="24"/>
          <w:lang w:val="en-US" w:eastAsia="zh-CN"/>
        </w:rPr>
        <w:t>22</w:t>
      </w:r>
      <w:r>
        <w:rPr>
          <w:rFonts w:hint="eastAsia" w:ascii="仿宋" w:hAnsi="仿宋" w:eastAsia="仿宋" w:cs="仿宋"/>
          <w:color w:val="auto"/>
          <w:sz w:val="24"/>
        </w:rPr>
        <w:t>日9时</w:t>
      </w:r>
      <w:r>
        <w:rPr>
          <w:rFonts w:hint="eastAsia" w:ascii="仿宋" w:hAnsi="仿宋" w:eastAsia="仿宋" w:cs="仿宋"/>
          <w:color w:val="auto"/>
          <w:sz w:val="24"/>
          <w:lang w:val="en-US" w:eastAsia="zh-CN"/>
        </w:rPr>
        <w:t>。</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lang w:val="en-US" w:eastAsia="zh-CN"/>
        </w:rPr>
        <w:t>4、开标地点：</w:t>
      </w:r>
      <w:r>
        <w:rPr>
          <w:rFonts w:hint="eastAsia" w:ascii="仿宋" w:hAnsi="仿宋" w:eastAsia="仿宋" w:cs="仿宋"/>
          <w:color w:val="auto"/>
          <w:sz w:val="24"/>
        </w:rPr>
        <w:t>地点为长沙市望城区银星路康乃馨公司二楼开标室。</w:t>
      </w:r>
    </w:p>
    <w:p>
      <w:pPr>
        <w:tabs>
          <w:tab w:val="left" w:pos="7920"/>
        </w:tabs>
        <w:spacing w:line="420" w:lineRule="exact"/>
        <w:ind w:right="15" w:rightChars="7"/>
        <w:rPr>
          <w:rFonts w:ascii="仿宋" w:hAnsi="仿宋" w:eastAsia="仿宋" w:cs="仿宋"/>
          <w:b/>
          <w:color w:val="auto"/>
          <w:sz w:val="24"/>
        </w:rPr>
      </w:pPr>
      <w:r>
        <w:rPr>
          <w:rFonts w:hint="eastAsia" w:ascii="仿宋" w:hAnsi="仿宋" w:eastAsia="仿宋" w:cs="仿宋"/>
          <w:b/>
          <w:color w:val="auto"/>
          <w:sz w:val="24"/>
        </w:rPr>
        <w:t>八、招标人名称、地址和联系方法</w:t>
      </w:r>
    </w:p>
    <w:p>
      <w:pPr>
        <w:spacing w:line="420" w:lineRule="exact"/>
        <w:rPr>
          <w:rFonts w:ascii="仿宋" w:hAnsi="仿宋" w:eastAsia="仿宋" w:cs="仿宋"/>
          <w:b/>
          <w:bCs/>
          <w:color w:val="auto"/>
          <w:sz w:val="24"/>
        </w:rPr>
      </w:pPr>
      <w:r>
        <w:rPr>
          <w:rFonts w:hint="eastAsia" w:ascii="仿宋" w:hAnsi="仿宋" w:eastAsia="仿宋" w:cs="仿宋"/>
          <w:b/>
          <w:bCs/>
          <w:color w:val="auto"/>
          <w:sz w:val="24"/>
        </w:rPr>
        <w:t>招标人：</w:t>
      </w:r>
      <w:r>
        <w:rPr>
          <w:rFonts w:hint="eastAsia" w:ascii="仿宋" w:hAnsi="仿宋" w:eastAsia="仿宋" w:cs="仿宋"/>
          <w:color w:val="auto"/>
          <w:sz w:val="24"/>
        </w:rPr>
        <w:t xml:space="preserve"> 湖南康乃馨养老产业投资置业有限公司</w:t>
      </w:r>
    </w:p>
    <w:p>
      <w:pPr>
        <w:tabs>
          <w:tab w:val="left" w:pos="7920"/>
        </w:tabs>
        <w:spacing w:line="420" w:lineRule="exact"/>
        <w:ind w:right="15" w:rightChars="7"/>
        <w:rPr>
          <w:rFonts w:ascii="仿宋" w:hAnsi="仿宋" w:eastAsia="仿宋" w:cs="仿宋"/>
          <w:color w:val="auto"/>
          <w:sz w:val="24"/>
        </w:rPr>
      </w:pPr>
      <w:r>
        <w:rPr>
          <w:rFonts w:hint="eastAsia" w:ascii="仿宋" w:hAnsi="仿宋" w:eastAsia="仿宋" w:cs="仿宋"/>
          <w:color w:val="auto"/>
          <w:sz w:val="24"/>
        </w:rPr>
        <w:t>地  址：长沙市望城区银星路二段康乃馨公司</w:t>
      </w:r>
    </w:p>
    <w:p>
      <w:pPr>
        <w:tabs>
          <w:tab w:val="left" w:pos="7920"/>
        </w:tabs>
        <w:spacing w:line="420" w:lineRule="exact"/>
        <w:ind w:right="15" w:rightChars="7"/>
        <w:rPr>
          <w:rFonts w:ascii="仿宋" w:hAnsi="仿宋" w:eastAsia="仿宋" w:cs="仿宋"/>
          <w:color w:val="auto"/>
          <w:sz w:val="24"/>
        </w:rPr>
      </w:pPr>
      <w:r>
        <w:rPr>
          <w:rFonts w:hint="eastAsia" w:ascii="仿宋" w:hAnsi="仿宋" w:eastAsia="仿宋" w:cs="仿宋"/>
          <w:color w:val="auto"/>
          <w:sz w:val="24"/>
        </w:rPr>
        <w:t xml:space="preserve">联系人：李心怡 </w:t>
      </w:r>
    </w:p>
    <w:p>
      <w:pPr>
        <w:tabs>
          <w:tab w:val="left" w:pos="7920"/>
        </w:tabs>
        <w:spacing w:line="420" w:lineRule="exact"/>
        <w:ind w:right="15" w:rightChars="7"/>
        <w:jc w:val="left"/>
        <w:rPr>
          <w:rFonts w:hint="eastAsia" w:ascii="仿宋" w:hAnsi="仿宋" w:eastAsia="仿宋" w:cs="仿宋"/>
          <w:color w:val="auto"/>
          <w:sz w:val="24"/>
        </w:rPr>
      </w:pPr>
      <w:r>
        <w:rPr>
          <w:rFonts w:hint="eastAsia" w:ascii="仿宋" w:hAnsi="仿宋" w:eastAsia="仿宋" w:cs="仿宋"/>
          <w:color w:val="auto"/>
          <w:sz w:val="24"/>
        </w:rPr>
        <w:t>电  话：18674820251</w:t>
      </w:r>
    </w:p>
    <w:p>
      <w:pPr>
        <w:tabs>
          <w:tab w:val="left" w:pos="7920"/>
        </w:tabs>
        <w:spacing w:line="420" w:lineRule="exact"/>
        <w:ind w:right="15" w:rightChars="7"/>
        <w:jc w:val="center"/>
        <w:rPr>
          <w:rFonts w:hint="eastAsia" w:ascii="仿宋" w:hAnsi="仿宋" w:eastAsia="仿宋" w:cs="仿宋"/>
          <w:color w:val="auto"/>
          <w:sz w:val="24"/>
        </w:rPr>
      </w:pPr>
    </w:p>
    <w:p>
      <w:pPr>
        <w:tabs>
          <w:tab w:val="left" w:pos="7920"/>
        </w:tabs>
        <w:spacing w:line="420" w:lineRule="exact"/>
        <w:ind w:right="15" w:rightChars="7"/>
        <w:jc w:val="center"/>
        <w:rPr>
          <w:rFonts w:hint="eastAsia" w:ascii="仿宋" w:hAnsi="仿宋" w:eastAsia="仿宋" w:cs="仿宋"/>
          <w:color w:val="auto"/>
          <w:sz w:val="24"/>
        </w:rPr>
      </w:pPr>
    </w:p>
    <w:p>
      <w:pPr>
        <w:tabs>
          <w:tab w:val="left" w:pos="7920"/>
        </w:tabs>
        <w:spacing w:line="420" w:lineRule="exact"/>
        <w:ind w:right="15" w:rightChars="7"/>
        <w:jc w:val="center"/>
        <w:rPr>
          <w:rFonts w:hint="eastAsia" w:ascii="仿宋" w:hAnsi="仿宋" w:eastAsia="仿宋" w:cs="仿宋"/>
          <w:color w:val="auto"/>
          <w:sz w:val="24"/>
        </w:rPr>
      </w:pPr>
    </w:p>
    <w:p>
      <w:pPr>
        <w:tabs>
          <w:tab w:val="left" w:pos="7920"/>
        </w:tabs>
        <w:spacing w:line="420" w:lineRule="exact"/>
        <w:ind w:right="15" w:rightChars="7"/>
        <w:jc w:val="center"/>
        <w:rPr>
          <w:rFonts w:hint="eastAsia" w:ascii="仿宋" w:hAnsi="仿宋" w:eastAsia="仿宋" w:cs="仿宋"/>
          <w:color w:val="auto"/>
          <w:sz w:val="24"/>
        </w:rPr>
      </w:pPr>
    </w:p>
    <w:p>
      <w:pPr>
        <w:pStyle w:val="3"/>
        <w:spacing w:before="0" w:after="0" w:line="240" w:lineRule="auto"/>
        <w:jc w:val="center"/>
        <w:rPr>
          <w:rFonts w:hint="eastAsia" w:ascii="仿宋" w:hAnsi="仿宋" w:eastAsia="仿宋" w:cs="仿宋"/>
          <w:color w:val="auto"/>
          <w:sz w:val="24"/>
        </w:rPr>
      </w:pPr>
    </w:p>
    <w:p>
      <w:pPr>
        <w:pStyle w:val="3"/>
        <w:spacing w:before="0" w:after="0" w:line="240" w:lineRule="auto"/>
        <w:jc w:val="center"/>
        <w:rPr>
          <w:color w:val="auto"/>
          <w:sz w:val="52"/>
          <w:szCs w:val="52"/>
        </w:rPr>
      </w:pPr>
      <w:bookmarkStart w:id="11" w:name="_Toc21207_WPSOffice_Level1"/>
      <w:bookmarkStart w:id="12" w:name="_Toc5381_WPSOffice_Level1"/>
      <w:bookmarkStart w:id="13" w:name="_Toc22298_WPSOffice_Level1"/>
      <w:r>
        <w:rPr>
          <w:rFonts w:hint="eastAsia"/>
          <w:color w:val="auto"/>
          <w:sz w:val="52"/>
          <w:szCs w:val="52"/>
        </w:rPr>
        <w:t>第二章   投标须知</w:t>
      </w:r>
      <w:bookmarkEnd w:id="11"/>
      <w:bookmarkEnd w:id="12"/>
      <w:bookmarkEnd w:id="13"/>
    </w:p>
    <w:tbl>
      <w:tblPr>
        <w:tblStyle w:val="16"/>
        <w:tblpPr w:leftFromText="180" w:rightFromText="180" w:vertAnchor="text" w:horzAnchor="page" w:tblpX="1438" w:tblpY="2100"/>
        <w:tblOverlap w:val="never"/>
        <w:tblW w:w="932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9"/>
        <w:gridCol w:w="2963"/>
        <w:gridCol w:w="522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blHeader/>
        </w:trPr>
        <w:tc>
          <w:tcPr>
            <w:tcW w:w="1139" w:type="dxa"/>
            <w:vAlign w:val="center"/>
          </w:tcPr>
          <w:p>
            <w:pPr>
              <w:adjustRightInd w:val="0"/>
              <w:snapToGrid w:val="0"/>
              <w:spacing w:before="156" w:beforeLines="50" w:line="360" w:lineRule="auto"/>
              <w:jc w:val="center"/>
              <w:rPr>
                <w:rFonts w:ascii="仿宋" w:hAnsi="仿宋" w:eastAsia="仿宋" w:cs="仿宋"/>
                <w:b/>
                <w:color w:val="auto"/>
                <w:sz w:val="24"/>
              </w:rPr>
            </w:pPr>
            <w:r>
              <w:rPr>
                <w:rFonts w:hint="eastAsia" w:ascii="仿宋" w:hAnsi="仿宋" w:eastAsia="仿宋" w:cs="仿宋"/>
                <w:b/>
                <w:color w:val="auto"/>
                <w:sz w:val="24"/>
              </w:rPr>
              <w:t>序号</w:t>
            </w:r>
          </w:p>
        </w:tc>
        <w:tc>
          <w:tcPr>
            <w:tcW w:w="2963" w:type="dxa"/>
            <w:vAlign w:val="center"/>
          </w:tcPr>
          <w:p>
            <w:pPr>
              <w:adjustRightInd w:val="0"/>
              <w:snapToGrid w:val="0"/>
              <w:spacing w:before="156" w:beforeLines="50" w:line="360" w:lineRule="auto"/>
              <w:jc w:val="center"/>
              <w:rPr>
                <w:rFonts w:ascii="仿宋" w:hAnsi="仿宋" w:eastAsia="仿宋" w:cs="仿宋"/>
                <w:b/>
                <w:color w:val="auto"/>
                <w:sz w:val="24"/>
              </w:rPr>
            </w:pPr>
            <w:r>
              <w:rPr>
                <w:rFonts w:hint="eastAsia" w:ascii="仿宋" w:hAnsi="仿宋" w:eastAsia="仿宋" w:cs="仿宋"/>
                <w:b/>
                <w:color w:val="auto"/>
                <w:sz w:val="24"/>
              </w:rPr>
              <w:t>条款名称</w:t>
            </w:r>
          </w:p>
        </w:tc>
        <w:tc>
          <w:tcPr>
            <w:tcW w:w="5224" w:type="dxa"/>
            <w:vAlign w:val="center"/>
          </w:tcPr>
          <w:p>
            <w:pPr>
              <w:adjustRightInd w:val="0"/>
              <w:snapToGrid w:val="0"/>
              <w:spacing w:before="156" w:beforeLines="50" w:line="360" w:lineRule="auto"/>
              <w:jc w:val="center"/>
              <w:rPr>
                <w:rFonts w:ascii="仿宋" w:hAnsi="仿宋" w:eastAsia="仿宋" w:cs="仿宋"/>
                <w:b/>
                <w:color w:val="auto"/>
                <w:sz w:val="24"/>
              </w:rPr>
            </w:pPr>
            <w:r>
              <w:rPr>
                <w:rFonts w:hint="eastAsia" w:ascii="仿宋" w:hAnsi="仿宋" w:eastAsia="仿宋" w:cs="仿宋"/>
                <w:b/>
                <w:color w:val="auto"/>
                <w:sz w:val="24"/>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9326" w:type="dxa"/>
            <w:gridSpan w:val="3"/>
            <w:vAlign w:val="center"/>
          </w:tcPr>
          <w:p>
            <w:pPr>
              <w:adjustRightInd w:val="0"/>
              <w:snapToGrid w:val="0"/>
              <w:spacing w:before="156" w:beforeLines="50" w:line="360" w:lineRule="auto"/>
              <w:jc w:val="center"/>
              <w:rPr>
                <w:rFonts w:ascii="仿宋" w:hAnsi="仿宋" w:eastAsia="仿宋" w:cs="仿宋"/>
                <w:b/>
                <w:color w:val="auto"/>
                <w:sz w:val="24"/>
              </w:rPr>
            </w:pPr>
            <w:r>
              <w:rPr>
                <w:rFonts w:hint="eastAsia" w:ascii="仿宋" w:hAnsi="仿宋" w:eastAsia="仿宋" w:cs="仿宋"/>
                <w:b/>
                <w:color w:val="auto"/>
                <w:sz w:val="24"/>
              </w:rPr>
              <w:t>第二章 投标须知（前附表）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9326" w:type="dxa"/>
            <w:gridSpan w:val="3"/>
            <w:vAlign w:val="center"/>
          </w:tcPr>
          <w:p>
            <w:pPr>
              <w:adjustRightInd w:val="0"/>
              <w:snapToGrid w:val="0"/>
              <w:spacing w:before="156" w:beforeLines="50" w:line="360" w:lineRule="auto"/>
              <w:rPr>
                <w:rFonts w:ascii="仿宋" w:hAnsi="仿宋" w:eastAsia="仿宋" w:cs="仿宋"/>
                <w:color w:val="auto"/>
                <w:sz w:val="24"/>
              </w:rPr>
            </w:pPr>
            <w:r>
              <w:rPr>
                <w:rFonts w:hint="eastAsia" w:ascii="仿宋" w:hAnsi="仿宋" w:eastAsia="仿宋" w:cs="仿宋"/>
                <w:b/>
                <w:color w:val="auto"/>
                <w:sz w:val="24"/>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9"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1</w:t>
            </w:r>
          </w:p>
        </w:tc>
        <w:tc>
          <w:tcPr>
            <w:tcW w:w="2963"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招标项目</w:t>
            </w:r>
          </w:p>
        </w:tc>
        <w:tc>
          <w:tcPr>
            <w:tcW w:w="5224" w:type="dxa"/>
            <w:vAlign w:val="center"/>
          </w:tcPr>
          <w:p>
            <w:pPr>
              <w:adjustRightInd w:val="0"/>
              <w:snapToGrid w:val="0"/>
              <w:spacing w:before="156" w:beforeLines="50" w:line="360" w:lineRule="auto"/>
              <w:rPr>
                <w:rFonts w:ascii="仿宋" w:hAnsi="仿宋" w:eastAsia="仿宋" w:cs="仿宋"/>
                <w:color w:val="auto"/>
                <w:sz w:val="24"/>
              </w:rPr>
            </w:pPr>
            <w:r>
              <w:rPr>
                <w:rFonts w:hint="eastAsia" w:ascii="仿宋" w:hAnsi="仿宋" w:eastAsia="仿宋" w:cs="仿宋"/>
                <w:color w:val="auto"/>
                <w:sz w:val="24"/>
              </w:rPr>
              <w:t>康乃馨食堂承包经营项目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6" w:hRule="atLeast"/>
        </w:trPr>
        <w:tc>
          <w:tcPr>
            <w:tcW w:w="1139"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2</w:t>
            </w:r>
          </w:p>
        </w:tc>
        <w:tc>
          <w:tcPr>
            <w:tcW w:w="2963"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bCs/>
                <w:color w:val="auto"/>
                <w:sz w:val="24"/>
              </w:rPr>
              <w:t>投标人</w:t>
            </w:r>
            <w:r>
              <w:rPr>
                <w:rFonts w:hint="eastAsia" w:ascii="仿宋" w:hAnsi="仿宋" w:eastAsia="仿宋" w:cs="仿宋"/>
                <w:color w:val="auto"/>
                <w:sz w:val="24"/>
              </w:rPr>
              <w:t>资格条件</w:t>
            </w:r>
          </w:p>
        </w:tc>
        <w:tc>
          <w:tcPr>
            <w:tcW w:w="5224" w:type="dxa"/>
            <w:vAlign w:val="center"/>
          </w:tcPr>
          <w:p>
            <w:pPr>
              <w:spacing w:line="520" w:lineRule="exact"/>
              <w:rPr>
                <w:rFonts w:ascii="仿宋" w:hAnsi="仿宋" w:eastAsia="仿宋" w:cs="仿宋"/>
                <w:color w:val="auto"/>
                <w:sz w:val="24"/>
              </w:rPr>
            </w:pPr>
            <w:r>
              <w:rPr>
                <w:rFonts w:hint="eastAsia" w:ascii="仿宋" w:hAnsi="仿宋" w:eastAsia="仿宋" w:cs="仿宋"/>
                <w:color w:val="auto"/>
                <w:sz w:val="24"/>
              </w:rPr>
              <w:t>1基本资格条件：</w:t>
            </w:r>
          </w:p>
          <w:p>
            <w:pPr>
              <w:numPr>
                <w:ilvl w:val="255"/>
                <w:numId w:val="0"/>
              </w:numPr>
              <w:spacing w:line="420" w:lineRule="exact"/>
              <w:rPr>
                <w:rFonts w:ascii="仿宋" w:hAnsi="仿宋" w:eastAsia="仿宋" w:cs="仿宋"/>
                <w:bCs/>
                <w:color w:val="auto"/>
                <w:sz w:val="24"/>
              </w:rPr>
            </w:pPr>
            <w:r>
              <w:rPr>
                <w:rFonts w:hint="eastAsia" w:ascii="仿宋" w:hAnsi="仿宋" w:eastAsia="仿宋" w:cs="仿宋"/>
                <w:bCs/>
                <w:color w:val="auto"/>
                <w:sz w:val="24"/>
              </w:rPr>
              <w:t>（1）法人提交企业法人营业执照副本(或者法人登记证书)以及组织机构代码证副本复印件；</w:t>
            </w:r>
          </w:p>
          <w:p>
            <w:pPr>
              <w:numPr>
                <w:ilvl w:val="255"/>
                <w:numId w:val="0"/>
              </w:numPr>
              <w:spacing w:line="420" w:lineRule="exact"/>
              <w:rPr>
                <w:rFonts w:ascii="仿宋" w:hAnsi="仿宋" w:eastAsia="仿宋" w:cs="仿宋"/>
                <w:bCs/>
                <w:color w:val="auto"/>
                <w:sz w:val="24"/>
              </w:rPr>
            </w:pPr>
            <w:r>
              <w:rPr>
                <w:rFonts w:hint="eastAsia" w:ascii="仿宋" w:hAnsi="仿宋" w:eastAsia="仿宋" w:cs="仿宋"/>
                <w:color w:val="auto"/>
                <w:sz w:val="24"/>
              </w:rPr>
              <w:t>（2）食品经营许可证复印件；</w:t>
            </w:r>
          </w:p>
          <w:p>
            <w:pPr>
              <w:spacing w:line="420" w:lineRule="exact"/>
              <w:rPr>
                <w:rFonts w:ascii="仿宋" w:hAnsi="仿宋" w:eastAsia="仿宋" w:cs="仿宋"/>
                <w:bCs/>
                <w:color w:val="auto"/>
                <w:sz w:val="24"/>
              </w:rPr>
            </w:pPr>
            <w:r>
              <w:rPr>
                <w:rFonts w:hint="eastAsia" w:ascii="仿宋" w:hAnsi="仿宋" w:eastAsia="仿宋" w:cs="仿宋"/>
                <w:bCs/>
                <w:color w:val="auto"/>
                <w:sz w:val="24"/>
              </w:rPr>
              <w:t>（3）依法缴纳税收和社会保险费的证明材料,各提供下列材料之一:</w:t>
            </w:r>
          </w:p>
          <w:p>
            <w:pPr>
              <w:spacing w:line="420" w:lineRule="exact"/>
              <w:rPr>
                <w:rFonts w:ascii="仿宋" w:hAnsi="仿宋" w:eastAsia="仿宋" w:cs="仿宋"/>
                <w:bCs/>
                <w:color w:val="auto"/>
                <w:sz w:val="24"/>
              </w:rPr>
            </w:pPr>
            <w:r>
              <w:rPr>
                <w:rFonts w:hint="eastAsia" w:ascii="仿宋" w:hAnsi="仿宋" w:eastAsia="仿宋" w:cs="仿宋"/>
                <w:bCs/>
                <w:color w:val="auto"/>
                <w:sz w:val="24"/>
              </w:rPr>
              <w:t>①缴纳税收证明资料:《税务登记证》复印件，或者近三个月依法缴纳税收的证明（纳税凭证复印件），或者委托他人缴纳的委托代办协议和近三个月的缴纳证明（收据复印件），或者法定征收机关出具的依法免缴税收的证明原件。</w:t>
            </w:r>
          </w:p>
          <w:p>
            <w:pPr>
              <w:spacing w:line="420" w:lineRule="exact"/>
              <w:rPr>
                <w:rFonts w:ascii="仿宋" w:hAnsi="仿宋" w:eastAsia="仿宋" w:cs="仿宋"/>
                <w:bCs/>
                <w:color w:val="auto"/>
                <w:sz w:val="24"/>
              </w:rPr>
            </w:pPr>
            <w:r>
              <w:rPr>
                <w:rFonts w:hint="eastAsia" w:ascii="仿宋" w:hAnsi="仿宋" w:eastAsia="仿宋" w:cs="仿宋"/>
                <w:bCs/>
                <w:color w:val="auto"/>
                <w:sz w:val="24"/>
              </w:rPr>
              <w:t>②缴纳社会保险证明资料：《社会保险登记证》复印件，或者近三个月依法缴纳社会保险的证明（缴费凭证复印件），或者委托他人缴纳的委托代办协议和近三个月的缴纳证明（收据复印件），或者法定征收机关出具的依法免缴保险费的证明原件。</w:t>
            </w:r>
          </w:p>
          <w:p>
            <w:pPr>
              <w:spacing w:line="420" w:lineRule="exact"/>
              <w:rPr>
                <w:rFonts w:ascii="仿宋" w:hAnsi="仿宋" w:eastAsia="仿宋" w:cs="仿宋"/>
                <w:color w:val="auto"/>
                <w:sz w:val="24"/>
              </w:rPr>
            </w:pPr>
            <w:r>
              <w:rPr>
                <w:rFonts w:hint="eastAsia" w:ascii="仿宋" w:hAnsi="仿宋" w:eastAsia="仿宋" w:cs="仿宋"/>
                <w:color w:val="auto"/>
                <w:sz w:val="24"/>
              </w:rPr>
              <w:t>③法人提交法定代表人身份证明书原件或者法定代表人授权委托书原件及附法定代表人身份证明复印件；</w:t>
            </w:r>
          </w:p>
          <w:p>
            <w:pPr>
              <w:spacing w:line="420" w:lineRule="exact"/>
              <w:rPr>
                <w:rFonts w:ascii="仿宋" w:hAnsi="仿宋" w:eastAsia="仿宋" w:cs="仿宋"/>
                <w:color w:val="auto"/>
                <w:sz w:val="24"/>
              </w:rPr>
            </w:pPr>
            <w:r>
              <w:rPr>
                <w:rFonts w:hint="eastAsia" w:ascii="仿宋" w:hAnsi="仿宋" w:eastAsia="仿宋" w:cs="仿宋"/>
                <w:color w:val="auto"/>
                <w:sz w:val="24"/>
              </w:rPr>
              <w:t>（4）食堂经理、厨师长、食品卫生安全管理员的个人简历（主要从事餐饮经营管理的经历，需加盖公章，提供近三个月社保缴纳凭证）；身份证复印件；健康证明复印件。</w:t>
            </w:r>
          </w:p>
          <w:p>
            <w:pPr>
              <w:spacing w:line="420" w:lineRule="exact"/>
              <w:rPr>
                <w:rFonts w:ascii="仿宋" w:hAnsi="仿宋" w:eastAsia="仿宋" w:cs="仿宋"/>
                <w:color w:val="auto"/>
                <w:sz w:val="24"/>
                <w:shd w:val="clear" w:color="auto" w:fill="FFFFFF"/>
              </w:rPr>
            </w:pPr>
            <w:r>
              <w:rPr>
                <w:rFonts w:hint="eastAsia" w:ascii="仿宋" w:hAnsi="仿宋" w:eastAsia="仿宋" w:cs="仿宋"/>
                <w:color w:val="auto"/>
                <w:sz w:val="24"/>
                <w:shd w:val="clear" w:color="auto" w:fill="FFFFFF"/>
              </w:rPr>
              <w:t>（5）与招标人存在利害关系可能影响招标公正性的法人、其他组织或者个人，不得参与投标。单位负责人为同一人或者存在控股、管理关系的不同单位，不得参加同一招标项目投标。</w:t>
            </w:r>
          </w:p>
          <w:p>
            <w:pPr>
              <w:spacing w:line="420" w:lineRule="exact"/>
              <w:rPr>
                <w:rFonts w:ascii="仿宋" w:hAnsi="仿宋" w:eastAsia="仿宋" w:cs="仿宋"/>
                <w:color w:val="auto"/>
                <w:sz w:val="24"/>
              </w:rPr>
            </w:pPr>
            <w:r>
              <w:rPr>
                <w:rFonts w:hint="eastAsia" w:ascii="仿宋" w:hAnsi="仿宋" w:eastAsia="仿宋" w:cs="仿宋"/>
                <w:color w:val="auto"/>
                <w:sz w:val="24"/>
                <w:shd w:val="clear" w:color="auto" w:fill="FFFFFF"/>
              </w:rPr>
              <w:t>（6）</w:t>
            </w:r>
            <w:r>
              <w:rPr>
                <w:rFonts w:hint="eastAsia" w:ascii="仿宋" w:hAnsi="仿宋" w:eastAsia="仿宋" w:cs="仿宋"/>
                <w:color w:val="auto"/>
                <w:sz w:val="24"/>
              </w:rPr>
              <w:t>在国家企业信用系统中有不良记录的企业，禁止参加与本项目投标。</w:t>
            </w:r>
          </w:p>
          <w:p>
            <w:pPr>
              <w:spacing w:line="420" w:lineRule="exact"/>
              <w:rPr>
                <w:rFonts w:ascii="仿宋" w:hAnsi="仿宋" w:eastAsia="仿宋" w:cs="仿宋"/>
                <w:color w:val="auto"/>
                <w:sz w:val="24"/>
              </w:rPr>
            </w:pPr>
            <w:r>
              <w:rPr>
                <w:rFonts w:hint="eastAsia" w:ascii="仿宋" w:hAnsi="仿宋" w:eastAsia="仿宋" w:cs="仿宋"/>
                <w:color w:val="auto"/>
                <w:sz w:val="24"/>
              </w:rPr>
              <w:t>（7）其他：</w:t>
            </w:r>
          </w:p>
          <w:p>
            <w:pPr>
              <w:spacing w:line="420" w:lineRule="exact"/>
              <w:rPr>
                <w:rFonts w:ascii="仿宋" w:hAnsi="仿宋" w:eastAsia="仿宋" w:cs="仿宋"/>
                <w:color w:val="auto"/>
                <w:sz w:val="24"/>
              </w:rPr>
            </w:pPr>
            <w:r>
              <w:rPr>
                <w:rFonts w:hint="eastAsia" w:ascii="仿宋" w:hAnsi="仿宋" w:eastAsia="仿宋" w:cs="仿宋"/>
                <w:color w:val="auto"/>
                <w:sz w:val="24"/>
              </w:rPr>
              <w:t>①经工商注册为独立法人资格的社会餐饮企业，卫生、食品安全、餐饮服务、健康等许可证照合法齐全，注册资金100万元以上。近三年内有从事团餐餐饮经营服务的经历，以往经营过程中无食物中毒等食品安全事故发生。</w:t>
            </w:r>
          </w:p>
          <w:p>
            <w:pPr>
              <w:widowControl/>
              <w:spacing w:line="420" w:lineRule="exact"/>
              <w:jc w:val="left"/>
              <w:rPr>
                <w:rFonts w:ascii="仿宋" w:hAnsi="仿宋" w:eastAsia="仿宋" w:cs="仿宋"/>
                <w:color w:val="auto"/>
                <w:sz w:val="24"/>
              </w:rPr>
            </w:pPr>
            <w:r>
              <w:rPr>
                <w:rFonts w:hint="eastAsia" w:ascii="仿宋" w:hAnsi="仿宋" w:eastAsia="仿宋" w:cs="仿宋"/>
                <w:bCs/>
                <w:color w:val="auto"/>
                <w:sz w:val="24"/>
              </w:rPr>
              <w:t>②</w:t>
            </w:r>
            <w:r>
              <w:rPr>
                <w:rFonts w:hint="eastAsia" w:ascii="仿宋" w:hAnsi="仿宋" w:eastAsia="仿宋" w:cs="仿宋"/>
                <w:color w:val="auto"/>
                <w:sz w:val="24"/>
              </w:rPr>
              <w:t>投标受托人必须是餐饮企业的法定代表人或餐饮企业的授权委托人，授权委托人必须具有两年以上从事餐饮管理服务的经验，提供相关合同复印并加盖单位公章、食堂、消防管理经验相关证明资料；携原件备查。经查实提供的证明资料存在弄虚作假的，视为无效中标，后果自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9"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3</w:t>
            </w:r>
          </w:p>
        </w:tc>
        <w:tc>
          <w:tcPr>
            <w:tcW w:w="2963"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联合体投标</w:t>
            </w:r>
          </w:p>
          <w:p>
            <w:pPr>
              <w:adjustRightInd w:val="0"/>
              <w:snapToGrid w:val="0"/>
              <w:spacing w:before="156" w:beforeLines="50" w:line="360" w:lineRule="auto"/>
              <w:jc w:val="center"/>
              <w:rPr>
                <w:rFonts w:ascii="仿宋" w:hAnsi="仿宋" w:eastAsia="仿宋" w:cs="仿宋"/>
                <w:color w:val="auto"/>
                <w:sz w:val="24"/>
              </w:rPr>
            </w:pPr>
          </w:p>
        </w:tc>
        <w:tc>
          <w:tcPr>
            <w:tcW w:w="5224" w:type="dxa"/>
            <w:vAlign w:val="center"/>
          </w:tcPr>
          <w:p>
            <w:pPr>
              <w:adjustRightInd w:val="0"/>
              <w:snapToGrid w:val="0"/>
              <w:spacing w:before="156" w:beforeLines="50" w:line="360" w:lineRule="auto"/>
              <w:rPr>
                <w:rFonts w:ascii="仿宋" w:hAnsi="仿宋" w:eastAsia="仿宋" w:cs="仿宋"/>
                <w:color w:val="auto"/>
                <w:sz w:val="24"/>
              </w:rPr>
            </w:pPr>
            <w:r>
              <w:rPr>
                <w:rFonts w:hint="eastAsia" w:ascii="仿宋" w:hAnsi="仿宋" w:eastAsia="仿宋" w:cs="仿宋"/>
                <w:color w:val="auto"/>
                <w:sz w:val="24"/>
              </w:rPr>
              <w:t>☑ 不接受</w:t>
            </w:r>
          </w:p>
          <w:p>
            <w:pPr>
              <w:adjustRightInd w:val="0"/>
              <w:snapToGrid w:val="0"/>
              <w:spacing w:before="156" w:beforeLines="50" w:line="360" w:lineRule="auto"/>
              <w:rPr>
                <w:rFonts w:ascii="仿宋" w:hAnsi="仿宋" w:eastAsia="仿宋" w:cs="仿宋"/>
                <w:color w:val="auto"/>
                <w:sz w:val="24"/>
              </w:rPr>
            </w:pPr>
            <w:r>
              <w:rPr>
                <w:rFonts w:hint="eastAsia" w:ascii="仿宋" w:hAnsi="仿宋" w:eastAsia="仿宋" w:cs="仿宋"/>
                <w:color w:val="auto"/>
                <w:sz w:val="24"/>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9326" w:type="dxa"/>
            <w:gridSpan w:val="3"/>
            <w:vAlign w:val="center"/>
          </w:tcPr>
          <w:p>
            <w:pPr>
              <w:adjustRightInd w:val="0"/>
              <w:snapToGrid w:val="0"/>
              <w:spacing w:before="156" w:beforeLines="50" w:line="360" w:lineRule="auto"/>
              <w:rPr>
                <w:rFonts w:ascii="仿宋" w:hAnsi="仿宋" w:eastAsia="仿宋" w:cs="仿宋"/>
                <w:b/>
                <w:color w:val="auto"/>
                <w:sz w:val="24"/>
              </w:rPr>
            </w:pPr>
            <w:r>
              <w:rPr>
                <w:rFonts w:hint="eastAsia" w:ascii="仿宋" w:hAnsi="仿宋" w:eastAsia="仿宋" w:cs="仿宋"/>
                <w:b/>
                <w:color w:val="auto"/>
                <w:sz w:val="24"/>
              </w:rPr>
              <w:t>二、招标文件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9"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4</w:t>
            </w:r>
          </w:p>
        </w:tc>
        <w:tc>
          <w:tcPr>
            <w:tcW w:w="2963"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指定的发布网站</w:t>
            </w:r>
          </w:p>
        </w:tc>
        <w:tc>
          <w:tcPr>
            <w:tcW w:w="5224"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康乃馨网站 http://www.hnknx.com/</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3" w:hRule="atLeast"/>
        </w:trPr>
        <w:tc>
          <w:tcPr>
            <w:tcW w:w="1139"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5</w:t>
            </w:r>
          </w:p>
        </w:tc>
        <w:tc>
          <w:tcPr>
            <w:tcW w:w="2963"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招标文件的提供期限</w:t>
            </w:r>
          </w:p>
        </w:tc>
        <w:tc>
          <w:tcPr>
            <w:tcW w:w="5224" w:type="dxa"/>
            <w:vAlign w:val="center"/>
          </w:tcPr>
          <w:p>
            <w:pPr>
              <w:adjustRightInd w:val="0"/>
              <w:snapToGrid w:val="0"/>
              <w:spacing w:before="156" w:beforeLines="50" w:line="360" w:lineRule="auto"/>
              <w:jc w:val="left"/>
              <w:rPr>
                <w:rFonts w:ascii="仿宋" w:hAnsi="仿宋" w:eastAsia="仿宋" w:cs="仿宋"/>
                <w:color w:val="auto"/>
                <w:sz w:val="24"/>
              </w:rPr>
            </w:pPr>
            <w:r>
              <w:rPr>
                <w:rFonts w:hint="eastAsia" w:ascii="仿宋" w:hAnsi="仿宋" w:eastAsia="仿宋" w:cs="仿宋"/>
                <w:color w:val="auto"/>
                <w:sz w:val="24"/>
              </w:rPr>
              <w:t>凡有意参加投标者，请从202</w:t>
            </w:r>
            <w:r>
              <w:rPr>
                <w:rFonts w:hint="eastAsia" w:ascii="仿宋" w:hAnsi="仿宋" w:eastAsia="仿宋" w:cs="仿宋"/>
                <w:color w:val="auto"/>
                <w:sz w:val="24"/>
                <w:lang w:val="en-US" w:eastAsia="zh-CN"/>
              </w:rPr>
              <w:t>2</w:t>
            </w:r>
            <w:r>
              <w:rPr>
                <w:rFonts w:hint="eastAsia" w:ascii="仿宋" w:hAnsi="仿宋" w:eastAsia="仿宋" w:cs="仿宋"/>
                <w:color w:val="auto"/>
                <w:sz w:val="24"/>
              </w:rPr>
              <w:t>年</w:t>
            </w:r>
            <w:r>
              <w:rPr>
                <w:rFonts w:hint="eastAsia" w:ascii="仿宋" w:hAnsi="仿宋" w:eastAsia="仿宋" w:cs="仿宋"/>
                <w:color w:val="auto"/>
                <w:sz w:val="24"/>
                <w:lang w:val="en-US" w:eastAsia="zh-CN"/>
              </w:rPr>
              <w:t>2</w:t>
            </w:r>
            <w:r>
              <w:rPr>
                <w:rFonts w:hint="eastAsia" w:ascii="仿宋" w:hAnsi="仿宋" w:eastAsia="仿宋" w:cs="仿宋"/>
                <w:color w:val="auto"/>
                <w:sz w:val="24"/>
              </w:rPr>
              <w:t>月</w:t>
            </w:r>
            <w:r>
              <w:rPr>
                <w:rFonts w:hint="eastAsia" w:ascii="仿宋" w:hAnsi="仿宋" w:eastAsia="仿宋" w:cs="仿宋"/>
                <w:color w:val="auto"/>
                <w:sz w:val="24"/>
                <w:lang w:val="en-US" w:eastAsia="zh-CN"/>
              </w:rPr>
              <w:t>16</w:t>
            </w:r>
            <w:bookmarkStart w:id="133" w:name="_GoBack"/>
            <w:bookmarkEnd w:id="133"/>
            <w:r>
              <w:rPr>
                <w:rFonts w:hint="eastAsia" w:ascii="仿宋" w:hAnsi="仿宋" w:eastAsia="仿宋" w:cs="仿宋"/>
                <w:color w:val="auto"/>
                <w:sz w:val="24"/>
              </w:rPr>
              <w:t>日起（北京时间，下同）在康乃馨网站 http://www.hnknx.com/通过网络下载，其招标文件与书面招标文件具有同等法律效力。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9"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6</w:t>
            </w:r>
          </w:p>
        </w:tc>
        <w:tc>
          <w:tcPr>
            <w:tcW w:w="2963"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提交投标文件截止期时间</w:t>
            </w:r>
          </w:p>
        </w:tc>
        <w:tc>
          <w:tcPr>
            <w:tcW w:w="5224" w:type="dxa"/>
            <w:vAlign w:val="center"/>
          </w:tcPr>
          <w:p>
            <w:pPr>
              <w:adjustRightInd w:val="0"/>
              <w:snapToGrid w:val="0"/>
              <w:spacing w:before="156" w:beforeLines="50" w:line="360" w:lineRule="auto"/>
              <w:rPr>
                <w:rFonts w:ascii="仿宋" w:hAnsi="仿宋" w:eastAsia="仿宋" w:cs="仿宋"/>
                <w:color w:val="auto"/>
                <w:sz w:val="24"/>
              </w:rPr>
            </w:pPr>
            <w:r>
              <w:rPr>
                <w:rFonts w:hint="eastAsia" w:ascii="仿宋" w:hAnsi="仿宋" w:eastAsia="仿宋" w:cs="仿宋"/>
                <w:color w:val="auto"/>
                <w:sz w:val="24"/>
                <w:u w:val="single"/>
              </w:rPr>
              <w:t xml:space="preserve">  202</w:t>
            </w:r>
            <w:r>
              <w:rPr>
                <w:rFonts w:hint="eastAsia" w:ascii="仿宋" w:hAnsi="仿宋" w:eastAsia="仿宋" w:cs="仿宋"/>
                <w:color w:val="auto"/>
                <w:sz w:val="24"/>
                <w:u w:val="single"/>
                <w:lang w:val="en-US" w:eastAsia="zh-CN"/>
              </w:rPr>
              <w:t>2</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2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22</w:t>
            </w:r>
            <w:r>
              <w:rPr>
                <w:rFonts w:hint="eastAsia" w:ascii="仿宋" w:hAnsi="仿宋" w:eastAsia="仿宋" w:cs="仿宋"/>
                <w:color w:val="auto"/>
                <w:sz w:val="24"/>
              </w:rPr>
              <w:t>日（</w:t>
            </w:r>
            <w:r>
              <w:rPr>
                <w:rFonts w:hint="eastAsia" w:ascii="仿宋" w:hAnsi="仿宋" w:eastAsia="仿宋" w:cs="仿宋"/>
                <w:color w:val="auto"/>
                <w:sz w:val="24"/>
                <w:u w:val="single"/>
              </w:rPr>
              <w:t>星期</w:t>
            </w:r>
            <w:r>
              <w:rPr>
                <w:rFonts w:hint="eastAsia" w:ascii="仿宋" w:hAnsi="仿宋" w:eastAsia="仿宋" w:cs="仿宋"/>
                <w:color w:val="auto"/>
                <w:sz w:val="24"/>
                <w:u w:val="single"/>
                <w:lang w:eastAsia="zh-CN"/>
              </w:rPr>
              <w:t>二</w:t>
            </w:r>
            <w:r>
              <w:rPr>
                <w:rFonts w:hint="eastAsia" w:ascii="仿宋" w:hAnsi="仿宋" w:eastAsia="仿宋" w:cs="仿宋"/>
                <w:color w:val="auto"/>
                <w:sz w:val="24"/>
                <w:u w:val="single"/>
              </w:rPr>
              <w:t xml:space="preserve"> </w:t>
            </w:r>
            <w:r>
              <w:rPr>
                <w:rFonts w:hint="eastAsia" w:ascii="仿宋" w:hAnsi="仿宋" w:eastAsia="仿宋" w:cs="仿宋"/>
                <w:color w:val="auto"/>
                <w:sz w:val="24"/>
              </w:rPr>
              <w:t>）9</w:t>
            </w:r>
            <w:r>
              <w:rPr>
                <w:rFonts w:hint="eastAsia" w:ascii="仿宋" w:hAnsi="仿宋" w:eastAsia="仿宋" w:cs="仿宋"/>
                <w:color w:val="auto"/>
                <w:sz w:val="24"/>
                <w:u w:val="single"/>
              </w:rPr>
              <w:t xml:space="preserve"> </w:t>
            </w:r>
            <w:r>
              <w:rPr>
                <w:rFonts w:hint="eastAsia" w:ascii="仿宋" w:hAnsi="仿宋" w:eastAsia="仿宋" w:cs="仿宋"/>
                <w:color w:val="auto"/>
                <w:sz w:val="24"/>
              </w:rPr>
              <w:t>时</w:t>
            </w:r>
            <w:r>
              <w:rPr>
                <w:rFonts w:hint="eastAsia" w:ascii="仿宋" w:hAnsi="仿宋" w:eastAsia="仿宋" w:cs="仿宋"/>
                <w:color w:val="auto"/>
                <w:sz w:val="24"/>
                <w:u w:val="single"/>
              </w:rPr>
              <w:t xml:space="preserve"> 00  </w:t>
            </w:r>
            <w:r>
              <w:rPr>
                <w:rFonts w:hint="eastAsia" w:ascii="仿宋" w:hAnsi="仿宋" w:eastAsia="仿宋" w:cs="仿宋"/>
                <w:color w:val="auto"/>
                <w:sz w:val="24"/>
              </w:rPr>
              <w:t>分（北京时间）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9326" w:type="dxa"/>
            <w:gridSpan w:val="3"/>
            <w:vAlign w:val="center"/>
          </w:tcPr>
          <w:p>
            <w:pPr>
              <w:adjustRightInd w:val="0"/>
              <w:snapToGrid w:val="0"/>
              <w:spacing w:before="156" w:beforeLines="50" w:line="360" w:lineRule="auto"/>
              <w:rPr>
                <w:rFonts w:ascii="仿宋" w:hAnsi="仿宋" w:eastAsia="仿宋" w:cs="仿宋"/>
                <w:color w:val="auto"/>
                <w:sz w:val="24"/>
              </w:rPr>
            </w:pPr>
            <w:r>
              <w:rPr>
                <w:rFonts w:hint="eastAsia" w:ascii="仿宋" w:hAnsi="仿宋" w:eastAsia="仿宋" w:cs="仿宋"/>
                <w:b/>
                <w:color w:val="auto"/>
                <w:sz w:val="24"/>
              </w:rPr>
              <w:t>三、投标文件的编写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9"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7</w:t>
            </w:r>
          </w:p>
        </w:tc>
        <w:tc>
          <w:tcPr>
            <w:tcW w:w="2963"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备选方案</w:t>
            </w:r>
          </w:p>
        </w:tc>
        <w:tc>
          <w:tcPr>
            <w:tcW w:w="5224" w:type="dxa"/>
            <w:vAlign w:val="center"/>
          </w:tcPr>
          <w:p>
            <w:pPr>
              <w:adjustRightInd w:val="0"/>
              <w:snapToGrid w:val="0"/>
              <w:spacing w:before="156" w:beforeLines="50" w:line="360" w:lineRule="auto"/>
              <w:rPr>
                <w:rFonts w:ascii="仿宋" w:hAnsi="仿宋" w:eastAsia="仿宋" w:cs="仿宋"/>
                <w:color w:val="auto"/>
                <w:sz w:val="24"/>
              </w:rPr>
            </w:pPr>
            <w:r>
              <w:rPr>
                <w:rFonts w:hint="eastAsia" w:ascii="仿宋" w:hAnsi="仿宋" w:eastAsia="仿宋" w:cs="仿宋"/>
                <w:color w:val="auto"/>
                <w:sz w:val="24"/>
              </w:rPr>
              <w:t>☑ 不接受</w:t>
            </w:r>
          </w:p>
          <w:p>
            <w:pPr>
              <w:adjustRightInd w:val="0"/>
              <w:snapToGrid w:val="0"/>
              <w:spacing w:before="156" w:beforeLines="50" w:line="360" w:lineRule="auto"/>
              <w:rPr>
                <w:rFonts w:ascii="仿宋" w:hAnsi="仿宋" w:eastAsia="仿宋" w:cs="仿宋"/>
                <w:color w:val="auto"/>
                <w:sz w:val="24"/>
              </w:rPr>
            </w:pPr>
            <w:r>
              <w:rPr>
                <w:rFonts w:hint="eastAsia" w:ascii="仿宋" w:hAnsi="仿宋" w:eastAsia="仿宋" w:cs="仿宋"/>
                <w:color w:val="auto"/>
                <w:sz w:val="24"/>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95" w:hRule="atLeast"/>
        </w:trPr>
        <w:tc>
          <w:tcPr>
            <w:tcW w:w="1139"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8</w:t>
            </w:r>
          </w:p>
        </w:tc>
        <w:tc>
          <w:tcPr>
            <w:tcW w:w="2963" w:type="dxa"/>
            <w:vAlign w:val="center"/>
          </w:tcPr>
          <w:p>
            <w:pPr>
              <w:adjustRightInd w:val="0"/>
              <w:snapToGrid w:val="0"/>
              <w:spacing w:before="156" w:beforeLines="50"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投标方案</w:t>
            </w:r>
          </w:p>
        </w:tc>
        <w:tc>
          <w:tcPr>
            <w:tcW w:w="5224" w:type="dxa"/>
            <w:shd w:val="clear" w:color="auto" w:fill="FFFFFF"/>
            <w:vAlign w:val="center"/>
          </w:tcPr>
          <w:p>
            <w:pPr>
              <w:widowControl/>
              <w:jc w:val="left"/>
              <w:textAlignment w:val="center"/>
              <w:rPr>
                <w:rFonts w:hint="eastAsia" w:ascii="仿宋" w:hAnsi="仿宋" w:eastAsia="仿宋" w:cs="仿宋"/>
                <w:color w:val="auto"/>
                <w:sz w:val="24"/>
                <w:lang w:eastAsia="zh-CN"/>
              </w:rPr>
            </w:pPr>
            <w:r>
              <w:rPr>
                <w:rFonts w:hint="eastAsia" w:ascii="仿宋" w:hAnsi="仿宋" w:eastAsia="仿宋" w:cs="仿宋"/>
                <w:b w:val="0"/>
                <w:bCs w:val="0"/>
                <w:color w:val="auto"/>
                <w:sz w:val="24"/>
                <w:lang w:val="en-US" w:eastAsia="zh-CN"/>
              </w:rPr>
              <w:t>招标方就该食堂对投标人收取预缴场地租金不低于3万/年，另收取项目保证金及管理费，按正常收费标准收取</w:t>
            </w:r>
            <w:r>
              <w:rPr>
                <w:rFonts w:hint="eastAsia" w:ascii="仿宋" w:hAnsi="仿宋" w:eastAsia="仿宋" w:cs="仿宋"/>
                <w:color w:val="000000" w:themeColor="text1"/>
                <w:sz w:val="24"/>
                <w:shd w:val="clear" w:color="auto" w:fill="auto"/>
                <w:lang w:eastAsia="zh-CN"/>
                <w14:textFill>
                  <w14:solidFill>
                    <w14:schemeClr w14:val="tx1"/>
                  </w14:solidFill>
                </w14:textFill>
              </w:rPr>
              <w:t>的情况下，中标方要出具具体的运营管理及营销方案，使在园员工、老人、病人及家属有更好的就餐环境及就餐质量。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1139"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9</w:t>
            </w:r>
          </w:p>
        </w:tc>
        <w:tc>
          <w:tcPr>
            <w:tcW w:w="2963" w:type="dxa"/>
            <w:vAlign w:val="center"/>
          </w:tcPr>
          <w:p>
            <w:pPr>
              <w:adjustRightInd w:val="0"/>
              <w:snapToGrid w:val="0"/>
              <w:spacing w:before="156" w:beforeLines="50" w:line="360" w:lineRule="auto"/>
              <w:jc w:val="center"/>
              <w:rPr>
                <w:rFonts w:ascii="仿宋" w:hAnsi="仿宋" w:eastAsia="仿宋" w:cs="仿宋"/>
                <w:bCs/>
                <w:color w:val="auto"/>
                <w:sz w:val="24"/>
              </w:rPr>
            </w:pPr>
            <w:r>
              <w:rPr>
                <w:rFonts w:hint="eastAsia" w:ascii="仿宋" w:hAnsi="仿宋" w:eastAsia="仿宋" w:cs="仿宋"/>
                <w:bCs/>
                <w:color w:val="auto"/>
                <w:sz w:val="24"/>
              </w:rPr>
              <w:t>投标有效期</w:t>
            </w:r>
          </w:p>
        </w:tc>
        <w:tc>
          <w:tcPr>
            <w:tcW w:w="5224" w:type="dxa"/>
            <w:vAlign w:val="center"/>
          </w:tcPr>
          <w:p>
            <w:pPr>
              <w:adjustRightInd w:val="0"/>
              <w:snapToGrid w:val="0"/>
              <w:spacing w:before="156" w:beforeLines="50" w:line="360" w:lineRule="auto"/>
              <w:rPr>
                <w:rFonts w:ascii="仿宋" w:hAnsi="仿宋" w:eastAsia="仿宋" w:cs="仿宋"/>
                <w:bCs/>
                <w:color w:val="auto"/>
                <w:sz w:val="24"/>
              </w:rPr>
            </w:pPr>
            <w:r>
              <w:rPr>
                <w:rFonts w:hint="eastAsia" w:ascii="仿宋" w:hAnsi="仿宋" w:eastAsia="仿宋" w:cs="仿宋"/>
                <w:color w:val="auto"/>
                <w:sz w:val="24"/>
                <w:u w:val="single"/>
              </w:rPr>
              <w:t xml:space="preserve">  30 </w:t>
            </w:r>
            <w:r>
              <w:rPr>
                <w:rFonts w:hint="eastAsia" w:ascii="仿宋" w:hAnsi="仿宋" w:eastAsia="仿宋" w:cs="仿宋"/>
                <w:color w:val="auto"/>
                <w:sz w:val="24"/>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1139"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10</w:t>
            </w:r>
          </w:p>
        </w:tc>
        <w:tc>
          <w:tcPr>
            <w:tcW w:w="2963"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投标文件副本份数</w:t>
            </w:r>
          </w:p>
        </w:tc>
        <w:tc>
          <w:tcPr>
            <w:tcW w:w="5224" w:type="dxa"/>
            <w:vAlign w:val="center"/>
          </w:tcPr>
          <w:p>
            <w:pPr>
              <w:adjustRightInd w:val="0"/>
              <w:snapToGrid w:val="0"/>
              <w:spacing w:before="156" w:beforeLines="50" w:line="360" w:lineRule="auto"/>
              <w:rPr>
                <w:rFonts w:ascii="仿宋" w:hAnsi="仿宋" w:eastAsia="仿宋" w:cs="仿宋"/>
                <w:color w:val="auto"/>
                <w:sz w:val="24"/>
                <w:u w:val="single"/>
              </w:rPr>
            </w:pPr>
            <w:r>
              <w:rPr>
                <w:rFonts w:hint="eastAsia" w:ascii="仿宋" w:hAnsi="仿宋" w:eastAsia="仿宋" w:cs="仿宋"/>
                <w:color w:val="auto"/>
                <w:sz w:val="24"/>
                <w:u w:val="single"/>
              </w:rPr>
              <w:t xml:space="preserve">   4  </w:t>
            </w:r>
            <w:r>
              <w:rPr>
                <w:rFonts w:hint="eastAsia" w:ascii="仿宋" w:hAnsi="仿宋" w:eastAsia="仿宋" w:cs="仿宋"/>
                <w:color w:val="auto"/>
                <w:sz w:val="24"/>
              </w:rPr>
              <w:t>份；投标文件按正本和副本分别包装。电子投标文件须注明项目名称和投标单位名称后装入投标文件正本密封袋中。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9326" w:type="dxa"/>
            <w:gridSpan w:val="3"/>
            <w:vAlign w:val="center"/>
          </w:tcPr>
          <w:p>
            <w:pPr>
              <w:adjustRightInd w:val="0"/>
              <w:snapToGrid w:val="0"/>
              <w:spacing w:before="156" w:beforeLines="50" w:line="360" w:lineRule="auto"/>
              <w:rPr>
                <w:rFonts w:ascii="仿宋" w:hAnsi="仿宋" w:eastAsia="仿宋" w:cs="仿宋"/>
                <w:b/>
                <w:bCs/>
                <w:color w:val="auto"/>
                <w:sz w:val="24"/>
              </w:rPr>
            </w:pPr>
            <w:r>
              <w:rPr>
                <w:rFonts w:hint="eastAsia" w:ascii="仿宋" w:hAnsi="仿宋" w:eastAsia="仿宋" w:cs="仿宋"/>
                <w:b/>
                <w:color w:val="auto"/>
                <w:sz w:val="24"/>
              </w:rPr>
              <w:t>四、投标文件的递交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9"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11</w:t>
            </w:r>
          </w:p>
        </w:tc>
        <w:tc>
          <w:tcPr>
            <w:tcW w:w="2963"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封套上应载明的信息</w:t>
            </w:r>
          </w:p>
        </w:tc>
        <w:tc>
          <w:tcPr>
            <w:tcW w:w="5224" w:type="dxa"/>
            <w:vAlign w:val="center"/>
          </w:tcPr>
          <w:p>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1、投标文件的密封：投标人应将投标文件密封后提交。</w:t>
            </w:r>
          </w:p>
          <w:p>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2、投标文件的标识：投标文件应包装后加贴封条，并在封套的封口处加盖投标人单位公章。投标文件的封套上至少要写明以下内容：</w:t>
            </w:r>
          </w:p>
          <w:p>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 xml:space="preserve">招标人名称：                        </w:t>
            </w:r>
          </w:p>
          <w:p>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 xml:space="preserve">投标人全称：                      </w:t>
            </w:r>
          </w:p>
          <w:p>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 xml:space="preserve">投标人的地址：                    </w:t>
            </w:r>
          </w:p>
          <w:p>
            <w:pPr>
              <w:adjustRightInd w:val="0"/>
              <w:snapToGrid w:val="0"/>
              <w:spacing w:line="360" w:lineRule="auto"/>
              <w:rPr>
                <w:rFonts w:ascii="仿宋" w:hAnsi="仿宋" w:eastAsia="仿宋" w:cs="仿宋"/>
                <w:color w:val="auto"/>
                <w:sz w:val="24"/>
              </w:rPr>
            </w:pPr>
            <w:r>
              <w:rPr>
                <w:rFonts w:hint="eastAsia" w:ascii="仿宋" w:hAnsi="仿宋" w:eastAsia="仿宋" w:cs="仿宋"/>
                <w:sz w:val="24"/>
                <w:szCs w:val="24"/>
              </w:rPr>
              <w:t>康乃馨食堂</w:t>
            </w:r>
            <w:r>
              <w:rPr>
                <w:rFonts w:hint="eastAsia" w:ascii="仿宋" w:hAnsi="仿宋" w:eastAsia="仿宋" w:cs="仿宋"/>
                <w:sz w:val="24"/>
                <w:szCs w:val="24"/>
                <w:lang w:eastAsia="zh-CN"/>
              </w:rPr>
              <w:t>承包</w:t>
            </w:r>
            <w:r>
              <w:rPr>
                <w:rFonts w:hint="eastAsia" w:ascii="仿宋" w:hAnsi="仿宋" w:eastAsia="仿宋" w:cs="仿宋"/>
                <w:sz w:val="24"/>
                <w:szCs w:val="24"/>
              </w:rPr>
              <w:t>经营项目</w:t>
            </w:r>
            <w:r>
              <w:rPr>
                <w:rFonts w:hint="eastAsia" w:ascii="仿宋" w:hAnsi="仿宋" w:eastAsia="仿宋" w:cs="仿宋"/>
                <w:color w:val="auto"/>
                <w:sz w:val="24"/>
              </w:rPr>
              <w:t xml:space="preserve">投标文件在               </w:t>
            </w:r>
            <w:r>
              <w:rPr>
                <w:rFonts w:hint="eastAsia" w:ascii="仿宋" w:hAnsi="仿宋" w:eastAsia="仿宋" w:cs="仿宋"/>
                <w:color w:val="auto"/>
                <w:sz w:val="24"/>
                <w:lang w:val="en-US" w:eastAsia="zh-CN"/>
              </w:rPr>
              <w:t>2022年2月22日上午9：00</w:t>
            </w:r>
            <w:r>
              <w:rPr>
                <w:rFonts w:hint="eastAsia" w:ascii="仿宋" w:hAnsi="仿宋" w:eastAsia="仿宋" w:cs="仿宋"/>
                <w:color w:val="auto"/>
                <w:sz w:val="24"/>
              </w:rPr>
              <w:t>（投标截止时间）前不得开启</w:t>
            </w:r>
          </w:p>
          <w:p>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3、未按本章总则第4.1.1项要求密封的投标文件，招标人不予受理。未按本章总则第4.1.2项要求加写标记的投标文件，招标人将不承担投标文件提前开封的责任。</w:t>
            </w:r>
          </w:p>
          <w:p>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4、招标文件要求提供原件备查的资料，投标人统一密封包装与投标文件同时递交。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9"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13</w:t>
            </w:r>
          </w:p>
        </w:tc>
        <w:tc>
          <w:tcPr>
            <w:tcW w:w="2963"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投标文件的递交地点</w:t>
            </w:r>
          </w:p>
        </w:tc>
        <w:tc>
          <w:tcPr>
            <w:tcW w:w="5224" w:type="dxa"/>
            <w:vAlign w:val="center"/>
          </w:tcPr>
          <w:p>
            <w:pPr>
              <w:adjustRightInd w:val="0"/>
              <w:snapToGrid w:val="0"/>
              <w:spacing w:line="360" w:lineRule="auto"/>
              <w:rPr>
                <w:rFonts w:ascii="仿宋" w:hAnsi="仿宋" w:eastAsia="仿宋" w:cs="仿宋"/>
                <w:b/>
                <w:bCs/>
                <w:color w:val="auto"/>
                <w:sz w:val="24"/>
              </w:rPr>
            </w:pPr>
            <w:r>
              <w:rPr>
                <w:rFonts w:hint="eastAsia" w:ascii="仿宋" w:hAnsi="仿宋" w:eastAsia="仿宋" w:cs="仿宋"/>
                <w:color w:val="auto"/>
                <w:sz w:val="24"/>
              </w:rPr>
              <w:t>长沙市望城区银星路二段599号湖南养老产业投资置业有限公司二楼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9326" w:type="dxa"/>
            <w:gridSpan w:val="3"/>
            <w:vAlign w:val="center"/>
          </w:tcPr>
          <w:p>
            <w:pPr>
              <w:adjustRightInd w:val="0"/>
              <w:snapToGrid w:val="0"/>
              <w:spacing w:before="156" w:beforeLines="50" w:line="360" w:lineRule="auto"/>
              <w:rPr>
                <w:rFonts w:ascii="仿宋" w:hAnsi="仿宋" w:eastAsia="仿宋" w:cs="仿宋"/>
                <w:color w:val="auto"/>
                <w:sz w:val="24"/>
              </w:rPr>
            </w:pPr>
            <w:r>
              <w:rPr>
                <w:rFonts w:hint="eastAsia" w:ascii="仿宋" w:hAnsi="仿宋" w:eastAsia="仿宋" w:cs="仿宋"/>
                <w:b/>
                <w:bCs/>
                <w:color w:val="auto"/>
                <w:sz w:val="24"/>
              </w:rPr>
              <w:t>五、</w:t>
            </w:r>
            <w:r>
              <w:rPr>
                <w:rFonts w:hint="eastAsia" w:ascii="仿宋" w:hAnsi="仿宋" w:eastAsia="仿宋" w:cs="仿宋"/>
                <w:b/>
                <w:color w:val="auto"/>
                <w:sz w:val="24"/>
              </w:rPr>
              <w:t>开标和评标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9"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14</w:t>
            </w:r>
          </w:p>
        </w:tc>
        <w:tc>
          <w:tcPr>
            <w:tcW w:w="2963"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开标时间</w:t>
            </w:r>
          </w:p>
        </w:tc>
        <w:tc>
          <w:tcPr>
            <w:tcW w:w="5224" w:type="dxa"/>
            <w:vAlign w:val="center"/>
          </w:tcPr>
          <w:p>
            <w:pPr>
              <w:adjustRightInd w:val="0"/>
              <w:snapToGrid w:val="0"/>
              <w:spacing w:before="156" w:beforeLines="50" w:line="360" w:lineRule="auto"/>
              <w:rPr>
                <w:rFonts w:hint="eastAsia" w:ascii="仿宋" w:hAnsi="仿宋" w:eastAsia="仿宋" w:cs="仿宋"/>
                <w:color w:val="auto"/>
                <w:sz w:val="24"/>
                <w:lang w:eastAsia="zh-CN"/>
              </w:rPr>
            </w:pPr>
            <w:r>
              <w:rPr>
                <w:rFonts w:hint="eastAsia" w:ascii="仿宋" w:hAnsi="仿宋" w:eastAsia="仿宋" w:cs="仿宋"/>
                <w:color w:val="auto"/>
                <w:sz w:val="24"/>
              </w:rPr>
              <w:t>202</w:t>
            </w:r>
            <w:r>
              <w:rPr>
                <w:rFonts w:hint="eastAsia" w:ascii="仿宋" w:hAnsi="仿宋" w:eastAsia="仿宋" w:cs="仿宋"/>
                <w:color w:val="auto"/>
                <w:sz w:val="24"/>
                <w:lang w:val="en-US" w:eastAsia="zh-CN"/>
              </w:rPr>
              <w:t>2</w:t>
            </w:r>
            <w:r>
              <w:rPr>
                <w:rFonts w:hint="eastAsia" w:ascii="仿宋" w:hAnsi="仿宋" w:eastAsia="仿宋" w:cs="仿宋"/>
                <w:color w:val="auto"/>
                <w:sz w:val="24"/>
              </w:rPr>
              <w:t>年</w:t>
            </w:r>
            <w:r>
              <w:rPr>
                <w:rFonts w:hint="eastAsia" w:ascii="仿宋" w:hAnsi="仿宋" w:eastAsia="仿宋" w:cs="仿宋"/>
                <w:color w:val="auto"/>
                <w:sz w:val="24"/>
                <w:lang w:val="en-US" w:eastAsia="zh-CN"/>
              </w:rPr>
              <w:t>2</w:t>
            </w:r>
            <w:r>
              <w:rPr>
                <w:rFonts w:hint="eastAsia" w:ascii="仿宋" w:hAnsi="仿宋" w:eastAsia="仿宋" w:cs="仿宋"/>
                <w:color w:val="auto"/>
                <w:sz w:val="24"/>
              </w:rPr>
              <w:t>月</w:t>
            </w:r>
            <w:r>
              <w:rPr>
                <w:rFonts w:hint="eastAsia" w:ascii="仿宋" w:hAnsi="仿宋" w:eastAsia="仿宋" w:cs="仿宋"/>
                <w:color w:val="auto"/>
                <w:sz w:val="24"/>
                <w:lang w:val="en-US" w:eastAsia="zh-CN"/>
              </w:rPr>
              <w:t>22</w:t>
            </w:r>
            <w:r>
              <w:rPr>
                <w:rFonts w:hint="eastAsia" w:ascii="仿宋" w:hAnsi="仿宋" w:eastAsia="仿宋" w:cs="仿宋"/>
                <w:color w:val="auto"/>
                <w:sz w:val="24"/>
              </w:rPr>
              <w:t>日9：00</w:t>
            </w:r>
            <w:r>
              <w:rPr>
                <w:rFonts w:hint="eastAsia" w:ascii="仿宋" w:hAnsi="仿宋" w:eastAsia="仿宋" w:cs="仿宋"/>
                <w:color w:val="auto"/>
                <w:sz w:val="24"/>
                <w:lang w:eastAsia="zh-CN"/>
              </w:rPr>
              <w:t>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9"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15</w:t>
            </w:r>
          </w:p>
        </w:tc>
        <w:tc>
          <w:tcPr>
            <w:tcW w:w="2963"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评标</w:t>
            </w:r>
          </w:p>
        </w:tc>
        <w:tc>
          <w:tcPr>
            <w:tcW w:w="5224" w:type="dxa"/>
            <w:vAlign w:val="center"/>
          </w:tcPr>
          <w:p>
            <w:pPr>
              <w:adjustRightInd w:val="0"/>
              <w:snapToGrid w:val="0"/>
              <w:spacing w:before="156" w:beforeLines="50" w:line="360" w:lineRule="auto"/>
              <w:rPr>
                <w:rFonts w:ascii="仿宋" w:hAnsi="仿宋" w:eastAsia="仿宋" w:cs="仿宋"/>
                <w:color w:val="auto"/>
                <w:sz w:val="24"/>
              </w:rPr>
            </w:pPr>
            <w:r>
              <w:rPr>
                <w:rFonts w:hint="eastAsia" w:ascii="仿宋" w:hAnsi="仿宋" w:eastAsia="仿宋" w:cs="仿宋"/>
                <w:color w:val="auto"/>
                <w:sz w:val="24"/>
              </w:rPr>
              <w:t>招标方组成评标小组对投标文件进行评估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9326" w:type="dxa"/>
            <w:gridSpan w:val="3"/>
            <w:vAlign w:val="center"/>
          </w:tcPr>
          <w:p>
            <w:pPr>
              <w:adjustRightInd w:val="0"/>
              <w:snapToGrid w:val="0"/>
              <w:spacing w:before="156" w:beforeLines="50" w:line="360" w:lineRule="auto"/>
              <w:rPr>
                <w:rFonts w:ascii="仿宋" w:hAnsi="仿宋" w:eastAsia="仿宋" w:cs="仿宋"/>
                <w:b/>
                <w:color w:val="auto"/>
                <w:sz w:val="24"/>
              </w:rPr>
            </w:pPr>
            <w:r>
              <w:rPr>
                <w:rFonts w:hint="eastAsia" w:ascii="仿宋" w:hAnsi="仿宋" w:eastAsia="仿宋" w:cs="仿宋"/>
                <w:b/>
                <w:color w:val="auto"/>
                <w:sz w:val="24"/>
              </w:rPr>
              <w:t>六、其他规定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9" w:type="dxa"/>
            <w:vAlign w:val="center"/>
          </w:tcPr>
          <w:p>
            <w:pPr>
              <w:adjustRightInd w:val="0"/>
              <w:snapToGrid w:val="0"/>
              <w:spacing w:before="156" w:beforeLines="50" w:line="360" w:lineRule="auto"/>
              <w:jc w:val="center"/>
              <w:rPr>
                <w:rFonts w:ascii="仿宋" w:hAnsi="仿宋" w:eastAsia="仿宋" w:cs="仿宋"/>
                <w:bCs/>
                <w:color w:val="auto"/>
                <w:sz w:val="24"/>
              </w:rPr>
            </w:pPr>
            <w:r>
              <w:rPr>
                <w:rFonts w:hint="eastAsia" w:ascii="仿宋" w:hAnsi="仿宋" w:eastAsia="仿宋" w:cs="仿宋"/>
                <w:color w:val="auto"/>
                <w:sz w:val="24"/>
              </w:rPr>
              <w:t>16</w:t>
            </w:r>
          </w:p>
        </w:tc>
        <w:tc>
          <w:tcPr>
            <w:tcW w:w="2963" w:type="dxa"/>
            <w:vAlign w:val="center"/>
          </w:tcPr>
          <w:p>
            <w:pPr>
              <w:adjustRightInd w:val="0"/>
              <w:snapToGrid w:val="0"/>
              <w:spacing w:before="156" w:beforeLines="50" w:line="360" w:lineRule="auto"/>
              <w:jc w:val="center"/>
              <w:rPr>
                <w:rFonts w:ascii="仿宋" w:hAnsi="仿宋" w:eastAsia="仿宋" w:cs="仿宋"/>
                <w:bCs/>
                <w:color w:val="auto"/>
                <w:sz w:val="24"/>
              </w:rPr>
            </w:pPr>
            <w:r>
              <w:rPr>
                <w:rFonts w:hint="eastAsia" w:ascii="仿宋" w:hAnsi="仿宋" w:eastAsia="仿宋" w:cs="仿宋"/>
                <w:color w:val="auto"/>
                <w:sz w:val="24"/>
              </w:rPr>
              <w:t>推荐的中标候选人数量</w:t>
            </w:r>
          </w:p>
        </w:tc>
        <w:tc>
          <w:tcPr>
            <w:tcW w:w="5224" w:type="dxa"/>
            <w:vAlign w:val="center"/>
          </w:tcPr>
          <w:p>
            <w:pPr>
              <w:adjustRightInd w:val="0"/>
              <w:snapToGrid w:val="0"/>
              <w:spacing w:before="156" w:beforeLines="50" w:line="360" w:lineRule="auto"/>
              <w:rPr>
                <w:rFonts w:ascii="仿宋" w:hAnsi="仿宋" w:eastAsia="仿宋" w:cs="仿宋"/>
                <w:color w:val="auto"/>
                <w:sz w:val="24"/>
              </w:rPr>
            </w:pPr>
            <w:r>
              <w:rPr>
                <w:rFonts w:hint="eastAsia" w:ascii="仿宋" w:hAnsi="仿宋" w:eastAsia="仿宋" w:cs="仿宋"/>
                <w:color w:val="auto"/>
                <w:sz w:val="24"/>
              </w:rPr>
              <w:t>前三名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39"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17</w:t>
            </w:r>
          </w:p>
        </w:tc>
        <w:tc>
          <w:tcPr>
            <w:tcW w:w="2963" w:type="dxa"/>
            <w:vAlign w:val="center"/>
          </w:tcPr>
          <w:p>
            <w:pPr>
              <w:adjustRightInd w:val="0"/>
              <w:snapToGrid w:val="0"/>
              <w:spacing w:before="156" w:beforeLines="50" w:line="360" w:lineRule="auto"/>
              <w:jc w:val="center"/>
              <w:rPr>
                <w:rFonts w:ascii="仿宋" w:hAnsi="仿宋" w:eastAsia="仿宋" w:cs="仿宋"/>
                <w:color w:val="auto"/>
                <w:sz w:val="24"/>
              </w:rPr>
            </w:pPr>
            <w:r>
              <w:rPr>
                <w:rFonts w:hint="eastAsia" w:ascii="仿宋" w:hAnsi="仿宋" w:eastAsia="仿宋" w:cs="仿宋"/>
                <w:color w:val="auto"/>
                <w:sz w:val="24"/>
              </w:rPr>
              <w:t>踏勘现场</w:t>
            </w:r>
          </w:p>
        </w:tc>
        <w:tc>
          <w:tcPr>
            <w:tcW w:w="5224" w:type="dxa"/>
            <w:vAlign w:val="center"/>
          </w:tcPr>
          <w:p>
            <w:pPr>
              <w:adjustRightInd w:val="0"/>
              <w:snapToGrid w:val="0"/>
              <w:spacing w:before="156" w:beforeLines="50" w:line="360" w:lineRule="auto"/>
              <w:rPr>
                <w:rFonts w:ascii="仿宋" w:hAnsi="仿宋" w:eastAsia="仿宋" w:cs="仿宋"/>
                <w:color w:val="auto"/>
                <w:sz w:val="24"/>
              </w:rPr>
            </w:pPr>
            <w:r>
              <w:rPr>
                <w:rFonts w:hint="eastAsia" w:ascii="仿宋" w:hAnsi="仿宋" w:eastAsia="仿宋" w:cs="仿宋"/>
                <w:color w:val="auto"/>
                <w:sz w:val="24"/>
              </w:rPr>
              <w:t>本项目不统一组织踏勘，</w:t>
            </w:r>
            <w:r>
              <w:rPr>
                <w:rFonts w:hint="eastAsia" w:ascii="仿宋" w:hAnsi="仿宋" w:eastAsia="仿宋" w:cs="仿宋"/>
                <w:color w:val="auto"/>
                <w:sz w:val="24"/>
                <w:lang w:val="zh-TW"/>
              </w:rPr>
              <w:t>投标人可为踏勘目的进入招标人的项目现场，但投标人不得因此使招标人承担有关的责任和蒙受损失。投标人应承担踏勘现场的责任和风险</w:t>
            </w:r>
            <w:r>
              <w:rPr>
                <w:rFonts w:hint="eastAsia" w:ascii="仿宋" w:hAnsi="仿宋" w:eastAsia="仿宋" w:cs="仿宋"/>
                <w:color w:val="auto"/>
                <w:sz w:val="24"/>
              </w:rPr>
              <w:t>。</w:t>
            </w:r>
          </w:p>
        </w:tc>
      </w:tr>
    </w:tbl>
    <w:p>
      <w:pPr>
        <w:pStyle w:val="2"/>
        <w:numPr>
          <w:ilvl w:val="1"/>
          <w:numId w:val="0"/>
        </w:numPr>
        <w:spacing w:line="420" w:lineRule="exact"/>
        <w:jc w:val="center"/>
        <w:rPr>
          <w:rFonts w:ascii="仿宋" w:hAnsi="仿宋" w:eastAsia="仿宋" w:cs="仿宋"/>
          <w:color w:val="auto"/>
          <w:w w:val="100"/>
          <w:kern w:val="32"/>
          <w:sz w:val="24"/>
          <w:szCs w:val="24"/>
        </w:rPr>
      </w:pPr>
      <w:r>
        <w:rPr>
          <w:rFonts w:hint="eastAsia" w:ascii="仿宋" w:hAnsi="仿宋" w:eastAsia="仿宋" w:cs="仿宋"/>
          <w:color w:val="auto"/>
          <w:w w:val="100"/>
          <w:kern w:val="32"/>
          <w:sz w:val="24"/>
          <w:szCs w:val="24"/>
        </w:rPr>
        <w:t>1 总则</w:t>
      </w:r>
    </w:p>
    <w:p>
      <w:pPr>
        <w:spacing w:line="420" w:lineRule="exact"/>
        <w:ind w:left="718" w:leftChars="1" w:hanging="716" w:hangingChars="297"/>
        <w:rPr>
          <w:rFonts w:ascii="仿宋" w:hAnsi="仿宋" w:eastAsia="仿宋" w:cs="仿宋"/>
          <w:b/>
          <w:bCs/>
          <w:color w:val="auto"/>
          <w:sz w:val="24"/>
        </w:rPr>
      </w:pPr>
      <w:bookmarkStart w:id="14" w:name="_Toc227423923"/>
      <w:r>
        <w:rPr>
          <w:rFonts w:hint="eastAsia" w:ascii="仿宋" w:hAnsi="仿宋" w:eastAsia="仿宋" w:cs="仿宋"/>
          <w:b/>
          <w:bCs/>
          <w:color w:val="auto"/>
          <w:sz w:val="24"/>
        </w:rPr>
        <w:t>1.1．适用范围</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1.1.1本文件仅适用于本招标公告中所述的招标项目。</w:t>
      </w:r>
    </w:p>
    <w:p>
      <w:pPr>
        <w:spacing w:line="420" w:lineRule="exact"/>
        <w:ind w:left="718" w:leftChars="1" w:hanging="716" w:hangingChars="297"/>
        <w:rPr>
          <w:rFonts w:ascii="仿宋" w:hAnsi="仿宋" w:eastAsia="仿宋" w:cs="仿宋"/>
          <w:b/>
          <w:bCs/>
          <w:color w:val="auto"/>
          <w:sz w:val="24"/>
        </w:rPr>
      </w:pPr>
      <w:r>
        <w:rPr>
          <w:rFonts w:hint="eastAsia" w:ascii="仿宋" w:hAnsi="仿宋" w:eastAsia="仿宋" w:cs="仿宋"/>
          <w:b/>
          <w:bCs/>
          <w:color w:val="auto"/>
          <w:sz w:val="24"/>
        </w:rPr>
        <w:t>1.2定义</w:t>
      </w:r>
    </w:p>
    <w:p>
      <w:pPr>
        <w:spacing w:line="420" w:lineRule="exact"/>
        <w:rPr>
          <w:rFonts w:ascii="仿宋" w:hAnsi="仿宋" w:eastAsia="仿宋" w:cs="仿宋"/>
          <w:color w:val="auto"/>
          <w:sz w:val="24"/>
        </w:rPr>
      </w:pPr>
      <w:r>
        <w:rPr>
          <w:rFonts w:hint="eastAsia" w:ascii="仿宋" w:hAnsi="仿宋" w:eastAsia="仿宋" w:cs="仿宋"/>
          <w:color w:val="auto"/>
          <w:sz w:val="24"/>
        </w:rPr>
        <w:t>1.2.1“招标人”系湖南康乃馨养老产业投资置业有限公司。</w:t>
      </w:r>
    </w:p>
    <w:p>
      <w:pPr>
        <w:tabs>
          <w:tab w:val="left" w:pos="7920"/>
        </w:tabs>
        <w:spacing w:line="420" w:lineRule="exact"/>
        <w:ind w:right="15" w:rightChars="7"/>
        <w:rPr>
          <w:rFonts w:ascii="仿宋" w:hAnsi="仿宋" w:eastAsia="仿宋" w:cs="仿宋"/>
          <w:color w:val="auto"/>
          <w:sz w:val="24"/>
        </w:rPr>
      </w:pPr>
      <w:r>
        <w:rPr>
          <w:rFonts w:hint="eastAsia" w:ascii="仿宋" w:hAnsi="仿宋" w:eastAsia="仿宋" w:cs="仿宋"/>
          <w:color w:val="auto"/>
          <w:sz w:val="24"/>
        </w:rPr>
        <w:t>1.2.2“投标人”系指响</w:t>
      </w:r>
      <w:r>
        <w:rPr>
          <w:rFonts w:hint="eastAsia" w:ascii="仿宋" w:hAnsi="仿宋" w:eastAsia="仿宋" w:cs="仿宋"/>
          <w:color w:val="auto"/>
          <w:sz w:val="24"/>
          <w:lang w:eastAsia="zh-CN"/>
        </w:rPr>
        <w:t>应</w:t>
      </w:r>
      <w:r>
        <w:rPr>
          <w:rFonts w:hint="eastAsia" w:ascii="仿宋" w:hAnsi="仿宋" w:eastAsia="仿宋" w:cs="仿宋"/>
          <w:color w:val="auto"/>
          <w:sz w:val="24"/>
        </w:rPr>
        <w:t>投标标文件参与投标并提交投标文件的单位。</w:t>
      </w:r>
    </w:p>
    <w:p>
      <w:pPr>
        <w:tabs>
          <w:tab w:val="left" w:pos="7920"/>
        </w:tabs>
        <w:spacing w:line="420" w:lineRule="exact"/>
        <w:ind w:right="15" w:rightChars="7"/>
        <w:rPr>
          <w:rFonts w:ascii="仿宋" w:hAnsi="仿宋" w:eastAsia="仿宋" w:cs="仿宋"/>
          <w:color w:val="auto"/>
          <w:sz w:val="24"/>
        </w:rPr>
      </w:pPr>
      <w:r>
        <w:rPr>
          <w:rFonts w:hint="eastAsia" w:ascii="仿宋" w:hAnsi="仿宋" w:eastAsia="仿宋" w:cs="仿宋"/>
          <w:color w:val="auto"/>
          <w:sz w:val="24"/>
        </w:rPr>
        <w:t>1.2.3“中标人”系指被确定为承接本项目并负责其实施的投标人。</w:t>
      </w:r>
    </w:p>
    <w:p>
      <w:pPr>
        <w:spacing w:line="420" w:lineRule="exact"/>
        <w:ind w:left="718" w:leftChars="1" w:hanging="716" w:hangingChars="297"/>
        <w:rPr>
          <w:rFonts w:ascii="仿宋" w:hAnsi="仿宋" w:eastAsia="仿宋" w:cs="仿宋"/>
          <w:b/>
          <w:bCs/>
          <w:color w:val="auto"/>
          <w:sz w:val="24"/>
        </w:rPr>
      </w:pPr>
      <w:r>
        <w:rPr>
          <w:rFonts w:hint="eastAsia" w:ascii="仿宋" w:hAnsi="仿宋" w:eastAsia="仿宋" w:cs="仿宋"/>
          <w:b/>
          <w:bCs/>
          <w:color w:val="auto"/>
          <w:sz w:val="24"/>
        </w:rPr>
        <w:t>1.3投标人应具备的条件</w:t>
      </w:r>
    </w:p>
    <w:p>
      <w:pPr>
        <w:tabs>
          <w:tab w:val="left" w:pos="7920"/>
        </w:tabs>
        <w:spacing w:line="420" w:lineRule="exact"/>
        <w:ind w:right="15" w:rightChars="7" w:firstLine="470" w:firstLineChars="196"/>
        <w:rPr>
          <w:rFonts w:ascii="仿宋" w:hAnsi="仿宋" w:eastAsia="仿宋" w:cs="仿宋"/>
          <w:color w:val="auto"/>
          <w:sz w:val="24"/>
        </w:rPr>
      </w:pPr>
      <w:r>
        <w:rPr>
          <w:rFonts w:hint="eastAsia" w:ascii="仿宋" w:hAnsi="仿宋" w:eastAsia="仿宋" w:cs="仿宋"/>
          <w:color w:val="auto"/>
          <w:sz w:val="24"/>
        </w:rPr>
        <w:t xml:space="preserve">1.3.1详见招标公告。  </w:t>
      </w:r>
    </w:p>
    <w:p>
      <w:pPr>
        <w:spacing w:line="420" w:lineRule="exact"/>
        <w:ind w:left="718" w:leftChars="1" w:hanging="716" w:hangingChars="297"/>
        <w:rPr>
          <w:rFonts w:ascii="仿宋" w:hAnsi="仿宋" w:eastAsia="仿宋" w:cs="仿宋"/>
          <w:b/>
          <w:bCs/>
          <w:color w:val="auto"/>
          <w:sz w:val="24"/>
        </w:rPr>
      </w:pPr>
      <w:r>
        <w:rPr>
          <w:rFonts w:hint="eastAsia" w:ascii="仿宋" w:hAnsi="仿宋" w:eastAsia="仿宋" w:cs="仿宋"/>
          <w:b/>
          <w:bCs/>
          <w:color w:val="auto"/>
          <w:sz w:val="24"/>
        </w:rPr>
        <w:t>1.4.招标条件</w:t>
      </w:r>
    </w:p>
    <w:p>
      <w:pPr>
        <w:tabs>
          <w:tab w:val="left" w:pos="7920"/>
        </w:tabs>
        <w:spacing w:line="420" w:lineRule="exact"/>
        <w:ind w:right="15" w:rightChars="7"/>
        <w:rPr>
          <w:rFonts w:ascii="仿宋" w:hAnsi="仿宋" w:eastAsia="仿宋" w:cs="仿宋"/>
          <w:color w:val="auto"/>
          <w:sz w:val="24"/>
        </w:rPr>
      </w:pPr>
      <w:r>
        <w:rPr>
          <w:rFonts w:hint="eastAsia" w:ascii="仿宋" w:hAnsi="仿宋" w:eastAsia="仿宋" w:cs="仿宋"/>
          <w:color w:val="auto"/>
          <w:sz w:val="24"/>
        </w:rPr>
        <w:t>详见招标公告</w:t>
      </w:r>
    </w:p>
    <w:p>
      <w:pPr>
        <w:tabs>
          <w:tab w:val="left" w:pos="7920"/>
        </w:tabs>
        <w:spacing w:line="420" w:lineRule="exact"/>
        <w:ind w:right="15" w:rightChars="7"/>
        <w:rPr>
          <w:rFonts w:ascii="仿宋" w:hAnsi="仿宋" w:eastAsia="仿宋" w:cs="仿宋"/>
          <w:b/>
          <w:color w:val="auto"/>
          <w:sz w:val="24"/>
        </w:rPr>
      </w:pPr>
      <w:r>
        <w:rPr>
          <w:rFonts w:hint="eastAsia" w:ascii="仿宋" w:hAnsi="仿宋" w:eastAsia="仿宋" w:cs="仿宋"/>
          <w:color w:val="auto"/>
          <w:sz w:val="24"/>
        </w:rPr>
        <w:t xml:space="preserve"> </w:t>
      </w:r>
      <w:r>
        <w:rPr>
          <w:rFonts w:hint="eastAsia" w:ascii="仿宋" w:hAnsi="仿宋" w:eastAsia="仿宋" w:cs="仿宋"/>
          <w:b/>
          <w:color w:val="auto"/>
          <w:sz w:val="24"/>
        </w:rPr>
        <w:t>1.5费用承担</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投标人准备和参加投标活动发生的费用自理。</w:t>
      </w:r>
    </w:p>
    <w:p>
      <w:pPr>
        <w:tabs>
          <w:tab w:val="left" w:pos="7920"/>
        </w:tabs>
        <w:spacing w:line="420" w:lineRule="exact"/>
        <w:ind w:right="15" w:rightChars="7" w:firstLine="241" w:firstLineChars="100"/>
        <w:rPr>
          <w:rFonts w:ascii="仿宋" w:hAnsi="仿宋" w:eastAsia="仿宋" w:cs="仿宋"/>
          <w:b/>
          <w:color w:val="auto"/>
          <w:sz w:val="24"/>
        </w:rPr>
      </w:pPr>
      <w:r>
        <w:rPr>
          <w:rFonts w:hint="eastAsia" w:ascii="仿宋" w:hAnsi="仿宋" w:eastAsia="仿宋" w:cs="仿宋"/>
          <w:b/>
          <w:color w:val="auto"/>
          <w:sz w:val="24"/>
        </w:rPr>
        <w:t>1.6保密</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参与招标投标活动的各方应对招标文件和投标文件中的商业和技术等秘密保密，违者应对由此造成的后果承担法律责任。</w:t>
      </w:r>
    </w:p>
    <w:p>
      <w:pPr>
        <w:tabs>
          <w:tab w:val="left" w:pos="7920"/>
        </w:tabs>
        <w:spacing w:line="420" w:lineRule="exact"/>
        <w:ind w:right="15" w:rightChars="7"/>
        <w:rPr>
          <w:rFonts w:ascii="仿宋" w:hAnsi="仿宋" w:eastAsia="仿宋" w:cs="仿宋"/>
          <w:b/>
          <w:color w:val="auto"/>
          <w:sz w:val="24"/>
        </w:rPr>
      </w:pPr>
      <w:bookmarkStart w:id="15" w:name="_Toc373007188"/>
      <w:bookmarkStart w:id="16" w:name="_Toc193115699"/>
      <w:bookmarkStart w:id="17" w:name="_Toc378061528"/>
      <w:bookmarkStart w:id="18" w:name="_Toc376171335"/>
      <w:bookmarkStart w:id="19" w:name="_Toc358982539"/>
      <w:bookmarkStart w:id="20" w:name="_Toc235592900"/>
      <w:bookmarkStart w:id="21" w:name="_Toc358982037"/>
      <w:bookmarkStart w:id="22" w:name="_Toc335324725"/>
      <w:r>
        <w:rPr>
          <w:rFonts w:hint="eastAsia" w:ascii="仿宋" w:hAnsi="仿宋" w:eastAsia="仿宋" w:cs="仿宋"/>
          <w:b/>
          <w:color w:val="auto"/>
          <w:sz w:val="24"/>
        </w:rPr>
        <w:t>1.7语言文字</w:t>
      </w:r>
      <w:bookmarkEnd w:id="15"/>
      <w:bookmarkEnd w:id="16"/>
      <w:bookmarkEnd w:id="17"/>
      <w:bookmarkEnd w:id="18"/>
      <w:bookmarkEnd w:id="19"/>
      <w:bookmarkEnd w:id="20"/>
      <w:bookmarkEnd w:id="21"/>
      <w:bookmarkEnd w:id="22"/>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除专用术语外，与招标投标有关的语言均使用中文。必要时专用术语应附有中文注释。</w:t>
      </w:r>
    </w:p>
    <w:p>
      <w:pPr>
        <w:tabs>
          <w:tab w:val="left" w:pos="7920"/>
        </w:tabs>
        <w:spacing w:line="420" w:lineRule="exact"/>
        <w:ind w:right="15" w:rightChars="7"/>
        <w:rPr>
          <w:rFonts w:ascii="仿宋" w:hAnsi="仿宋" w:eastAsia="仿宋" w:cs="仿宋"/>
          <w:b/>
          <w:color w:val="auto"/>
          <w:sz w:val="24"/>
        </w:rPr>
      </w:pPr>
      <w:bookmarkStart w:id="23" w:name="_Toc193115700"/>
      <w:bookmarkStart w:id="24" w:name="_Toc376171336"/>
      <w:bookmarkStart w:id="25" w:name="_Toc358982038"/>
      <w:bookmarkStart w:id="26" w:name="_Toc378061529"/>
      <w:bookmarkStart w:id="27" w:name="_Toc235592901"/>
      <w:bookmarkStart w:id="28" w:name="_Toc373007189"/>
      <w:bookmarkStart w:id="29" w:name="_Toc335324726"/>
      <w:bookmarkStart w:id="30" w:name="_Toc358982540"/>
      <w:r>
        <w:rPr>
          <w:rFonts w:hint="eastAsia" w:ascii="仿宋" w:hAnsi="仿宋" w:eastAsia="仿宋" w:cs="仿宋"/>
          <w:b/>
          <w:color w:val="auto"/>
          <w:sz w:val="24"/>
        </w:rPr>
        <w:t>1.8计量单位</w:t>
      </w:r>
      <w:bookmarkEnd w:id="23"/>
      <w:bookmarkEnd w:id="24"/>
      <w:bookmarkEnd w:id="25"/>
      <w:bookmarkEnd w:id="26"/>
      <w:bookmarkEnd w:id="27"/>
      <w:bookmarkEnd w:id="28"/>
      <w:bookmarkEnd w:id="29"/>
      <w:bookmarkEnd w:id="30"/>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所有计量均采用中华人民共和国法定计量单位。</w:t>
      </w:r>
    </w:p>
    <w:p>
      <w:pPr>
        <w:tabs>
          <w:tab w:val="left" w:pos="7920"/>
        </w:tabs>
        <w:spacing w:line="420" w:lineRule="exact"/>
        <w:ind w:right="15" w:rightChars="7"/>
        <w:rPr>
          <w:rFonts w:ascii="仿宋" w:hAnsi="仿宋" w:eastAsia="仿宋" w:cs="仿宋"/>
          <w:b/>
          <w:bCs/>
          <w:color w:val="auto"/>
          <w:sz w:val="24"/>
        </w:rPr>
      </w:pPr>
      <w:bookmarkStart w:id="31" w:name="_Toc235592902"/>
      <w:bookmarkStart w:id="32" w:name="_Toc193115701"/>
      <w:bookmarkStart w:id="33" w:name="_Toc335324727"/>
      <w:bookmarkStart w:id="34" w:name="_Toc378061530"/>
      <w:bookmarkStart w:id="35" w:name="_Toc358982039"/>
      <w:bookmarkStart w:id="36" w:name="_Toc358982541"/>
      <w:bookmarkStart w:id="37" w:name="_Toc373007190"/>
      <w:bookmarkStart w:id="38" w:name="_Toc376171337"/>
      <w:r>
        <w:rPr>
          <w:rFonts w:hint="eastAsia" w:ascii="仿宋" w:hAnsi="仿宋" w:eastAsia="仿宋" w:cs="仿宋"/>
          <w:b/>
          <w:bCs/>
          <w:color w:val="auto"/>
          <w:sz w:val="24"/>
        </w:rPr>
        <w:t>1.9踏勘现场</w:t>
      </w:r>
      <w:bookmarkEnd w:id="31"/>
      <w:bookmarkEnd w:id="32"/>
      <w:bookmarkEnd w:id="33"/>
      <w:bookmarkEnd w:id="34"/>
      <w:bookmarkEnd w:id="35"/>
      <w:bookmarkEnd w:id="36"/>
      <w:bookmarkEnd w:id="37"/>
      <w:bookmarkEnd w:id="38"/>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1.9.1</w:t>
      </w:r>
      <w:r>
        <w:rPr>
          <w:rFonts w:hint="eastAsia" w:ascii="仿宋" w:hAnsi="仿宋" w:eastAsia="仿宋" w:cs="仿宋"/>
          <w:color w:val="auto"/>
          <w:sz w:val="24"/>
          <w:lang w:val="zh-TW"/>
        </w:rPr>
        <w:t>招标人将按投标人须知前附表规定，投标人自行对项目现场及周围环境进行踏勘，以获取有关编制投标文件和签署合同所涉及现场的资料。投标人承担踏勘现场所发生的自身费用。</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 xml:space="preserve">1.9.2 </w:t>
      </w:r>
      <w:r>
        <w:rPr>
          <w:rFonts w:hint="eastAsia" w:ascii="仿宋" w:hAnsi="仿宋" w:eastAsia="仿宋" w:cs="仿宋"/>
          <w:color w:val="auto"/>
          <w:sz w:val="24"/>
          <w:lang w:val="zh-TW"/>
        </w:rPr>
        <w:t>招标人向投标人提供的有关现场的数据和资料，供投标人在编制投标文件时参考，招标人不对投标人据此作出的判断和决策负责。</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 xml:space="preserve">1.9.3 </w:t>
      </w:r>
      <w:r>
        <w:rPr>
          <w:rFonts w:hint="eastAsia" w:ascii="仿宋" w:hAnsi="仿宋" w:eastAsia="仿宋" w:cs="仿宋"/>
          <w:color w:val="auto"/>
          <w:sz w:val="24"/>
          <w:lang w:val="zh-TW"/>
        </w:rPr>
        <w:t>投标人可为踏勘目的进入招标人的项目现场，但投标人不得因此使招标人承担有关的责任和蒙受损失。投标人应承担踏勘现场的责任和风险</w:t>
      </w:r>
      <w:r>
        <w:rPr>
          <w:rFonts w:hint="eastAsia" w:ascii="仿宋" w:hAnsi="仿宋" w:eastAsia="仿宋" w:cs="仿宋"/>
          <w:color w:val="auto"/>
          <w:sz w:val="24"/>
        </w:rPr>
        <w:t>。</w:t>
      </w:r>
    </w:p>
    <w:p>
      <w:pPr>
        <w:pStyle w:val="2"/>
        <w:numPr>
          <w:ilvl w:val="1"/>
          <w:numId w:val="0"/>
        </w:numPr>
        <w:spacing w:line="420" w:lineRule="exact"/>
        <w:jc w:val="center"/>
        <w:rPr>
          <w:rFonts w:ascii="仿宋" w:hAnsi="仿宋" w:eastAsia="仿宋" w:cs="仿宋"/>
          <w:color w:val="auto"/>
          <w:w w:val="100"/>
          <w:kern w:val="32"/>
          <w:sz w:val="24"/>
          <w:szCs w:val="24"/>
        </w:rPr>
      </w:pPr>
      <w:r>
        <w:rPr>
          <w:rFonts w:hint="eastAsia" w:ascii="仿宋" w:hAnsi="仿宋" w:eastAsia="仿宋" w:cs="仿宋"/>
          <w:color w:val="auto"/>
          <w:w w:val="100"/>
          <w:kern w:val="32"/>
          <w:sz w:val="24"/>
          <w:szCs w:val="24"/>
        </w:rPr>
        <w:t>2 招标文件</w:t>
      </w:r>
    </w:p>
    <w:p>
      <w:pPr>
        <w:tabs>
          <w:tab w:val="left" w:pos="7920"/>
        </w:tabs>
        <w:spacing w:line="420" w:lineRule="exact"/>
        <w:ind w:right="15" w:rightChars="7"/>
        <w:rPr>
          <w:rFonts w:ascii="仿宋" w:hAnsi="仿宋" w:eastAsia="仿宋" w:cs="仿宋"/>
          <w:b/>
          <w:color w:val="auto"/>
          <w:sz w:val="24"/>
        </w:rPr>
      </w:pPr>
      <w:r>
        <w:rPr>
          <w:rFonts w:hint="eastAsia" w:ascii="仿宋" w:hAnsi="仿宋" w:eastAsia="仿宋" w:cs="仿宋"/>
          <w:b/>
          <w:color w:val="auto"/>
          <w:sz w:val="24"/>
        </w:rPr>
        <w:t>2.1招标文件的组成</w:t>
      </w:r>
    </w:p>
    <w:p>
      <w:pPr>
        <w:tabs>
          <w:tab w:val="left" w:pos="7920"/>
        </w:tabs>
        <w:spacing w:line="420" w:lineRule="exact"/>
        <w:ind w:right="15" w:rightChars="7" w:firstLine="480"/>
        <w:rPr>
          <w:rFonts w:ascii="仿宋" w:hAnsi="仿宋" w:eastAsia="仿宋" w:cs="仿宋"/>
          <w:color w:val="auto"/>
          <w:sz w:val="24"/>
        </w:rPr>
      </w:pPr>
      <w:r>
        <w:rPr>
          <w:rFonts w:hint="eastAsia" w:ascii="仿宋" w:hAnsi="仿宋" w:eastAsia="仿宋" w:cs="仿宋"/>
          <w:color w:val="auto"/>
          <w:sz w:val="24"/>
        </w:rPr>
        <w:t>本招标文件包括：</w:t>
      </w:r>
    </w:p>
    <w:p>
      <w:pPr>
        <w:tabs>
          <w:tab w:val="left" w:pos="7920"/>
        </w:tabs>
        <w:spacing w:line="420" w:lineRule="exact"/>
        <w:ind w:right="15" w:rightChars="7" w:firstLine="480"/>
        <w:rPr>
          <w:rFonts w:ascii="仿宋" w:hAnsi="仿宋" w:eastAsia="仿宋" w:cs="仿宋"/>
          <w:color w:val="auto"/>
          <w:sz w:val="24"/>
        </w:rPr>
      </w:pPr>
      <w:r>
        <w:rPr>
          <w:rFonts w:hint="eastAsia" w:ascii="仿宋" w:hAnsi="仿宋" w:eastAsia="仿宋" w:cs="仿宋"/>
          <w:color w:val="auto"/>
          <w:sz w:val="24"/>
        </w:rPr>
        <w:t>（1）招标公告；</w:t>
      </w:r>
    </w:p>
    <w:p>
      <w:pPr>
        <w:tabs>
          <w:tab w:val="left" w:pos="7920"/>
        </w:tabs>
        <w:spacing w:line="420" w:lineRule="exact"/>
        <w:ind w:right="15" w:rightChars="7" w:firstLine="480"/>
        <w:rPr>
          <w:rFonts w:ascii="仿宋" w:hAnsi="仿宋" w:eastAsia="仿宋" w:cs="仿宋"/>
          <w:color w:val="auto"/>
          <w:sz w:val="24"/>
        </w:rPr>
      </w:pPr>
      <w:r>
        <w:rPr>
          <w:rFonts w:hint="eastAsia" w:ascii="仿宋" w:hAnsi="仿宋" w:eastAsia="仿宋" w:cs="仿宋"/>
          <w:color w:val="auto"/>
          <w:sz w:val="24"/>
        </w:rPr>
        <w:t>（2）投标人须知；</w:t>
      </w:r>
    </w:p>
    <w:p>
      <w:pPr>
        <w:tabs>
          <w:tab w:val="left" w:pos="7920"/>
        </w:tabs>
        <w:spacing w:line="420" w:lineRule="exact"/>
        <w:ind w:right="15" w:rightChars="7" w:firstLine="480"/>
        <w:rPr>
          <w:rFonts w:ascii="仿宋" w:hAnsi="仿宋" w:eastAsia="仿宋" w:cs="仿宋"/>
          <w:color w:val="auto"/>
          <w:sz w:val="24"/>
        </w:rPr>
      </w:pPr>
      <w:r>
        <w:rPr>
          <w:rFonts w:hint="eastAsia" w:ascii="仿宋" w:hAnsi="仿宋" w:eastAsia="仿宋" w:cs="仿宋"/>
          <w:color w:val="auto"/>
          <w:sz w:val="24"/>
        </w:rPr>
        <w:t>（3）项目相关情况说明及要求；</w:t>
      </w:r>
    </w:p>
    <w:p>
      <w:pPr>
        <w:tabs>
          <w:tab w:val="left" w:pos="7920"/>
        </w:tabs>
        <w:spacing w:line="420" w:lineRule="exact"/>
        <w:ind w:right="15" w:rightChars="7" w:firstLine="480"/>
        <w:rPr>
          <w:rFonts w:ascii="仿宋" w:hAnsi="仿宋" w:eastAsia="仿宋" w:cs="仿宋"/>
          <w:color w:val="auto"/>
          <w:sz w:val="24"/>
        </w:rPr>
      </w:pPr>
      <w:r>
        <w:rPr>
          <w:rFonts w:hint="eastAsia" w:ascii="仿宋" w:hAnsi="仿宋" w:eastAsia="仿宋" w:cs="仿宋"/>
          <w:color w:val="auto"/>
          <w:sz w:val="24"/>
        </w:rPr>
        <w:t>（4）合同格式；</w:t>
      </w:r>
    </w:p>
    <w:p>
      <w:pPr>
        <w:tabs>
          <w:tab w:val="left" w:pos="7920"/>
        </w:tabs>
        <w:spacing w:line="420" w:lineRule="exact"/>
        <w:ind w:right="15" w:rightChars="7" w:firstLine="480"/>
        <w:rPr>
          <w:rFonts w:ascii="仿宋" w:hAnsi="仿宋" w:eastAsia="仿宋" w:cs="仿宋"/>
          <w:color w:val="auto"/>
          <w:sz w:val="24"/>
        </w:rPr>
      </w:pPr>
      <w:r>
        <w:rPr>
          <w:rFonts w:hint="eastAsia" w:ascii="仿宋" w:hAnsi="仿宋" w:eastAsia="仿宋" w:cs="仿宋"/>
          <w:color w:val="auto"/>
          <w:sz w:val="24"/>
        </w:rPr>
        <w:t>（5）投标文件格式；</w:t>
      </w:r>
    </w:p>
    <w:p>
      <w:pPr>
        <w:tabs>
          <w:tab w:val="left" w:pos="7920"/>
        </w:tabs>
        <w:spacing w:line="420" w:lineRule="exact"/>
        <w:ind w:right="15" w:rightChars="7" w:firstLine="480"/>
        <w:rPr>
          <w:rFonts w:ascii="仿宋" w:hAnsi="仿宋" w:eastAsia="仿宋" w:cs="仿宋"/>
          <w:color w:val="auto"/>
          <w:sz w:val="24"/>
        </w:rPr>
      </w:pPr>
      <w:r>
        <w:rPr>
          <w:rFonts w:hint="eastAsia" w:ascii="仿宋" w:hAnsi="仿宋" w:eastAsia="仿宋" w:cs="仿宋"/>
          <w:color w:val="auto"/>
          <w:sz w:val="24"/>
        </w:rPr>
        <w:t>（6）评标办法。</w:t>
      </w:r>
    </w:p>
    <w:p>
      <w:pPr>
        <w:tabs>
          <w:tab w:val="left" w:pos="7920"/>
        </w:tabs>
        <w:spacing w:line="420" w:lineRule="exact"/>
        <w:ind w:right="15" w:rightChars="7"/>
        <w:rPr>
          <w:rFonts w:ascii="仿宋" w:hAnsi="仿宋" w:eastAsia="仿宋" w:cs="仿宋"/>
          <w:b/>
          <w:color w:val="auto"/>
          <w:sz w:val="24"/>
        </w:rPr>
      </w:pPr>
      <w:r>
        <w:rPr>
          <w:rFonts w:hint="eastAsia" w:ascii="仿宋" w:hAnsi="仿宋" w:eastAsia="仿宋" w:cs="仿宋"/>
          <w:b/>
          <w:color w:val="auto"/>
          <w:sz w:val="24"/>
        </w:rPr>
        <w:t>2.2招标文件的修改</w:t>
      </w:r>
    </w:p>
    <w:p>
      <w:pPr>
        <w:tabs>
          <w:tab w:val="left" w:pos="7920"/>
        </w:tabs>
        <w:spacing w:line="420" w:lineRule="exact"/>
        <w:ind w:right="15" w:rightChars="7" w:firstLine="480" w:firstLineChars="200"/>
        <w:rPr>
          <w:rFonts w:ascii="仿宋" w:hAnsi="仿宋" w:eastAsia="仿宋" w:cs="仿宋"/>
          <w:color w:val="auto"/>
          <w:sz w:val="24"/>
        </w:rPr>
      </w:pPr>
      <w:r>
        <w:rPr>
          <w:rFonts w:hint="eastAsia" w:ascii="仿宋" w:hAnsi="仿宋" w:eastAsia="仿宋" w:cs="仿宋"/>
          <w:color w:val="auto"/>
          <w:sz w:val="24"/>
        </w:rPr>
        <w:t>2.2.1在投标截止时间</w:t>
      </w:r>
      <w:r>
        <w:rPr>
          <w:rFonts w:hint="eastAsia" w:ascii="仿宋" w:hAnsi="仿宋" w:eastAsia="仿宋" w:cs="仿宋"/>
          <w:color w:val="auto"/>
          <w:sz w:val="24"/>
          <w:lang w:val="en-US" w:eastAsia="zh-CN"/>
        </w:rPr>
        <w:t>3</w:t>
      </w:r>
      <w:r>
        <w:rPr>
          <w:rFonts w:hint="eastAsia" w:ascii="仿宋" w:hAnsi="仿宋" w:eastAsia="仿宋" w:cs="仿宋"/>
          <w:color w:val="auto"/>
          <w:sz w:val="24"/>
        </w:rPr>
        <w:t>日前，招标人可以修改招标文件，并在康乃馨网站 http://www.hnknx.com/电子服务平台上发布修改文件，敬请获得招标文件的所有投标人关注，恕不另行通知，如有遗漏招标人概不负责。</w:t>
      </w:r>
      <w:r>
        <w:rPr>
          <w:rFonts w:hint="eastAsia" w:ascii="仿宋" w:hAnsi="仿宋" w:eastAsia="仿宋" w:cs="仿宋"/>
          <w:color w:val="auto"/>
          <w:sz w:val="24"/>
          <w:lang w:val="zh-TW"/>
        </w:rPr>
        <w:t>如果修改招标文件的时间距投标截止时间不足</w:t>
      </w:r>
      <w:r>
        <w:rPr>
          <w:rFonts w:hint="eastAsia" w:ascii="仿宋" w:hAnsi="仿宋" w:eastAsia="仿宋" w:cs="仿宋"/>
          <w:color w:val="auto"/>
          <w:sz w:val="24"/>
          <w:lang w:val="en-US" w:eastAsia="zh-CN"/>
        </w:rPr>
        <w:t>3</w:t>
      </w:r>
      <w:r>
        <w:rPr>
          <w:rFonts w:hint="eastAsia" w:ascii="仿宋" w:hAnsi="仿宋" w:eastAsia="仿宋" w:cs="仿宋"/>
          <w:color w:val="auto"/>
          <w:sz w:val="24"/>
          <w:lang w:val="zh-TW"/>
        </w:rPr>
        <w:t>日，且修改内容影响投标文件编制的，相应延长投标截止时间。</w:t>
      </w:r>
    </w:p>
    <w:p>
      <w:pPr>
        <w:tabs>
          <w:tab w:val="left" w:pos="7920"/>
        </w:tabs>
        <w:spacing w:line="420" w:lineRule="exact"/>
        <w:ind w:right="15" w:rightChars="7" w:firstLine="480" w:firstLineChars="200"/>
        <w:rPr>
          <w:rFonts w:ascii="仿宋" w:hAnsi="仿宋" w:eastAsia="仿宋" w:cs="仿宋"/>
          <w:color w:val="auto"/>
          <w:sz w:val="24"/>
        </w:rPr>
      </w:pPr>
      <w:r>
        <w:rPr>
          <w:rFonts w:hint="eastAsia" w:ascii="仿宋" w:hAnsi="仿宋" w:eastAsia="仿宋" w:cs="仿宋"/>
          <w:color w:val="auto"/>
          <w:sz w:val="24"/>
        </w:rPr>
        <w:t>2.2.2</w:t>
      </w:r>
      <w:r>
        <w:rPr>
          <w:rFonts w:hint="eastAsia" w:ascii="仿宋" w:hAnsi="仿宋" w:eastAsia="仿宋" w:cs="仿宋"/>
          <w:color w:val="auto"/>
          <w:sz w:val="24"/>
          <w:lang w:val="zh-TW"/>
        </w:rPr>
        <w:t>当招标文件、招标文件的修改、补充等在同一内容的表述上不一致时，以最后发出的备案的书面文件为准。</w:t>
      </w:r>
    </w:p>
    <w:p>
      <w:pPr>
        <w:pStyle w:val="2"/>
        <w:numPr>
          <w:ilvl w:val="1"/>
          <w:numId w:val="0"/>
        </w:numPr>
        <w:spacing w:line="420" w:lineRule="exact"/>
        <w:jc w:val="center"/>
        <w:rPr>
          <w:rFonts w:ascii="仿宋" w:hAnsi="仿宋" w:eastAsia="仿宋" w:cs="仿宋"/>
          <w:color w:val="auto"/>
          <w:w w:val="100"/>
          <w:kern w:val="32"/>
          <w:sz w:val="24"/>
          <w:szCs w:val="24"/>
        </w:rPr>
      </w:pPr>
      <w:r>
        <w:rPr>
          <w:rFonts w:hint="eastAsia" w:ascii="仿宋" w:hAnsi="仿宋" w:eastAsia="仿宋" w:cs="仿宋"/>
          <w:color w:val="auto"/>
          <w:w w:val="100"/>
          <w:kern w:val="32"/>
          <w:sz w:val="24"/>
          <w:szCs w:val="24"/>
        </w:rPr>
        <w:t>3 投标文件</w:t>
      </w:r>
    </w:p>
    <w:p>
      <w:pPr>
        <w:tabs>
          <w:tab w:val="left" w:pos="7920"/>
        </w:tabs>
        <w:spacing w:line="420" w:lineRule="exact"/>
        <w:ind w:right="15" w:rightChars="7"/>
        <w:rPr>
          <w:rFonts w:ascii="仿宋" w:hAnsi="仿宋" w:eastAsia="仿宋" w:cs="仿宋"/>
          <w:b/>
          <w:color w:val="auto"/>
          <w:sz w:val="24"/>
        </w:rPr>
      </w:pPr>
      <w:r>
        <w:rPr>
          <w:rFonts w:hint="eastAsia" w:ascii="仿宋" w:hAnsi="仿宋" w:eastAsia="仿宋" w:cs="仿宋"/>
          <w:b/>
          <w:color w:val="auto"/>
          <w:sz w:val="24"/>
        </w:rPr>
        <w:t>3.1投标文件的组成</w:t>
      </w:r>
    </w:p>
    <w:p>
      <w:pPr>
        <w:tabs>
          <w:tab w:val="left" w:pos="7920"/>
        </w:tabs>
        <w:spacing w:line="420" w:lineRule="exact"/>
        <w:ind w:right="15" w:rightChars="7" w:firstLine="480" w:firstLineChars="200"/>
        <w:rPr>
          <w:rFonts w:ascii="仿宋" w:hAnsi="仿宋" w:eastAsia="仿宋" w:cs="仿宋"/>
          <w:color w:val="auto"/>
          <w:sz w:val="24"/>
        </w:rPr>
      </w:pPr>
      <w:r>
        <w:rPr>
          <w:rFonts w:hint="eastAsia" w:ascii="仿宋" w:hAnsi="仿宋" w:eastAsia="仿宋" w:cs="仿宋"/>
          <w:color w:val="auto"/>
          <w:sz w:val="24"/>
        </w:rPr>
        <w:t>投标文件具体要求及编制详见第五章“投标文件格式”。</w:t>
      </w:r>
    </w:p>
    <w:p>
      <w:pPr>
        <w:tabs>
          <w:tab w:val="left" w:pos="7920"/>
        </w:tabs>
        <w:spacing w:line="420" w:lineRule="exact"/>
        <w:ind w:right="15" w:rightChars="7"/>
        <w:rPr>
          <w:rFonts w:ascii="仿宋" w:hAnsi="仿宋" w:eastAsia="仿宋" w:cs="仿宋"/>
          <w:b/>
          <w:color w:val="auto"/>
          <w:sz w:val="24"/>
        </w:rPr>
      </w:pPr>
      <w:r>
        <w:rPr>
          <w:rFonts w:hint="eastAsia" w:ascii="仿宋" w:hAnsi="仿宋" w:eastAsia="仿宋" w:cs="仿宋"/>
          <w:b/>
          <w:color w:val="auto"/>
          <w:sz w:val="24"/>
        </w:rPr>
        <w:t>3.2投标报价</w:t>
      </w:r>
    </w:p>
    <w:p>
      <w:pPr>
        <w:tabs>
          <w:tab w:val="left" w:pos="7920"/>
        </w:tabs>
        <w:spacing w:line="420" w:lineRule="exact"/>
        <w:ind w:right="15" w:rightChars="7" w:firstLine="480" w:firstLineChars="200"/>
        <w:rPr>
          <w:rFonts w:ascii="仿宋" w:hAnsi="仿宋" w:eastAsia="仿宋" w:cs="仿宋"/>
          <w:color w:val="auto"/>
          <w:sz w:val="24"/>
        </w:rPr>
      </w:pPr>
      <w:r>
        <w:rPr>
          <w:rFonts w:hint="eastAsia" w:ascii="仿宋" w:hAnsi="仿宋" w:eastAsia="仿宋" w:cs="仿宋"/>
          <w:color w:val="auto"/>
          <w:sz w:val="24"/>
        </w:rPr>
        <w:t>3.2.1</w:t>
      </w:r>
      <w:r>
        <w:rPr>
          <w:rFonts w:hint="eastAsia" w:ascii="仿宋" w:hAnsi="仿宋" w:eastAsia="仿宋" w:cs="仿宋"/>
          <w:color w:val="auto"/>
          <w:sz w:val="24"/>
          <w:lang w:eastAsia="zh-CN"/>
        </w:rPr>
        <w:t>本项目</w:t>
      </w:r>
      <w:r>
        <w:rPr>
          <w:rFonts w:hint="eastAsia" w:ascii="仿宋" w:hAnsi="仿宋" w:eastAsia="仿宋" w:cs="仿宋"/>
          <w:b w:val="0"/>
          <w:bCs w:val="0"/>
          <w:color w:val="auto"/>
          <w:sz w:val="24"/>
          <w:lang w:val="en-US" w:eastAsia="zh-CN"/>
        </w:rPr>
        <w:t>招标方就该食堂对投标人收取预缴场地租金不低于3万/年</w:t>
      </w:r>
      <w:r>
        <w:rPr>
          <w:rFonts w:hint="eastAsia" w:ascii="仿宋" w:hAnsi="仿宋" w:eastAsia="仿宋" w:cs="仿宋"/>
          <w:color w:val="auto"/>
          <w:sz w:val="24"/>
          <w:lang w:eastAsia="zh-CN"/>
        </w:rPr>
        <w:t>，招标人按照综合得分择优选取中标人</w:t>
      </w:r>
      <w:r>
        <w:rPr>
          <w:rFonts w:hint="eastAsia" w:ascii="仿宋" w:hAnsi="仿宋" w:eastAsia="仿宋" w:cs="仿宋"/>
          <w:color w:val="auto"/>
          <w:sz w:val="24"/>
        </w:rPr>
        <w:t>。</w:t>
      </w:r>
    </w:p>
    <w:p>
      <w:pPr>
        <w:spacing w:line="420" w:lineRule="exact"/>
        <w:ind w:left="718" w:leftChars="1" w:hanging="716" w:hangingChars="297"/>
        <w:rPr>
          <w:rFonts w:ascii="仿宋" w:hAnsi="仿宋" w:eastAsia="仿宋" w:cs="仿宋"/>
          <w:b/>
          <w:bCs/>
          <w:color w:val="auto"/>
          <w:sz w:val="24"/>
        </w:rPr>
      </w:pPr>
      <w:r>
        <w:rPr>
          <w:rFonts w:hint="eastAsia" w:ascii="仿宋" w:hAnsi="仿宋" w:eastAsia="仿宋" w:cs="仿宋"/>
          <w:b/>
          <w:bCs/>
          <w:color w:val="auto"/>
          <w:sz w:val="24"/>
        </w:rPr>
        <w:t>3.3投标有效期</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3.3.1从投标截止之日起，投标文件有效期为30天。投标有效期内，投标人不得要求撤销或修改其投标文件。</w:t>
      </w:r>
    </w:p>
    <w:p>
      <w:pPr>
        <w:tabs>
          <w:tab w:val="left" w:pos="7920"/>
        </w:tabs>
        <w:spacing w:line="420" w:lineRule="exact"/>
        <w:ind w:right="15" w:rightChars="7" w:firstLine="480" w:firstLineChars="200"/>
        <w:rPr>
          <w:rFonts w:ascii="仿宋" w:hAnsi="仿宋" w:eastAsia="仿宋" w:cs="仿宋"/>
          <w:color w:val="auto"/>
          <w:sz w:val="24"/>
        </w:rPr>
      </w:pPr>
      <w:r>
        <w:rPr>
          <w:rFonts w:hint="eastAsia" w:ascii="仿宋" w:hAnsi="仿宋" w:eastAsia="仿宋" w:cs="仿宋"/>
          <w:color w:val="auto"/>
          <w:sz w:val="24"/>
        </w:rPr>
        <w:t>3.3.2特殊情况下，在投标有效期满之前，招标人可要求投标人同意延长有效期，要求和答复均应以书面形式。</w:t>
      </w:r>
    </w:p>
    <w:p>
      <w:pPr>
        <w:tabs>
          <w:tab w:val="left" w:pos="7920"/>
        </w:tabs>
        <w:spacing w:line="420" w:lineRule="exact"/>
        <w:ind w:right="15" w:rightChars="7"/>
        <w:rPr>
          <w:rFonts w:ascii="仿宋" w:hAnsi="仿宋" w:eastAsia="仿宋" w:cs="仿宋"/>
          <w:b/>
          <w:color w:val="auto"/>
          <w:sz w:val="24"/>
        </w:rPr>
      </w:pPr>
      <w:r>
        <w:rPr>
          <w:rFonts w:hint="eastAsia" w:ascii="仿宋" w:hAnsi="仿宋" w:eastAsia="仿宋" w:cs="仿宋"/>
          <w:b/>
          <w:color w:val="auto"/>
          <w:sz w:val="24"/>
        </w:rPr>
        <w:t>3.4资格审查</w:t>
      </w:r>
    </w:p>
    <w:p>
      <w:pPr>
        <w:tabs>
          <w:tab w:val="left" w:pos="7920"/>
        </w:tabs>
        <w:spacing w:line="420" w:lineRule="exact"/>
        <w:ind w:right="15" w:rightChars="7" w:firstLine="480" w:firstLineChars="200"/>
        <w:rPr>
          <w:rFonts w:ascii="仿宋" w:hAnsi="仿宋" w:eastAsia="仿宋" w:cs="仿宋"/>
          <w:color w:val="auto"/>
          <w:sz w:val="24"/>
        </w:rPr>
      </w:pPr>
      <w:r>
        <w:rPr>
          <w:rFonts w:hint="eastAsia" w:ascii="仿宋" w:hAnsi="仿宋" w:eastAsia="仿宋" w:cs="仿宋"/>
          <w:color w:val="auto"/>
          <w:sz w:val="24"/>
        </w:rPr>
        <w:t>投标人应根据招标公告及投标须知前附表的资格条件要求提供相关证明资料。</w:t>
      </w:r>
    </w:p>
    <w:p>
      <w:pPr>
        <w:tabs>
          <w:tab w:val="left" w:pos="7920"/>
        </w:tabs>
        <w:spacing w:line="420" w:lineRule="exact"/>
        <w:ind w:right="15" w:rightChars="7"/>
        <w:rPr>
          <w:rFonts w:ascii="仿宋" w:hAnsi="仿宋" w:eastAsia="仿宋" w:cs="仿宋"/>
          <w:b/>
          <w:color w:val="auto"/>
          <w:sz w:val="24"/>
        </w:rPr>
      </w:pPr>
      <w:r>
        <w:rPr>
          <w:rFonts w:hint="eastAsia" w:ascii="仿宋" w:hAnsi="仿宋" w:eastAsia="仿宋" w:cs="仿宋"/>
          <w:b/>
          <w:color w:val="auto"/>
          <w:sz w:val="24"/>
        </w:rPr>
        <w:t>3.5备选投标方案</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不允许投标人递交备选投标方案。</w:t>
      </w:r>
    </w:p>
    <w:p>
      <w:pPr>
        <w:tabs>
          <w:tab w:val="left" w:pos="7920"/>
        </w:tabs>
        <w:spacing w:line="420" w:lineRule="exact"/>
        <w:ind w:right="15" w:rightChars="7"/>
        <w:rPr>
          <w:rFonts w:ascii="仿宋" w:hAnsi="仿宋" w:eastAsia="仿宋" w:cs="仿宋"/>
          <w:b/>
          <w:color w:val="auto"/>
          <w:sz w:val="24"/>
        </w:rPr>
      </w:pPr>
      <w:r>
        <w:rPr>
          <w:rFonts w:hint="eastAsia" w:ascii="仿宋" w:hAnsi="仿宋" w:eastAsia="仿宋" w:cs="仿宋"/>
          <w:b/>
          <w:color w:val="auto"/>
          <w:sz w:val="24"/>
        </w:rPr>
        <w:t>3.6投标文件的编制</w:t>
      </w:r>
    </w:p>
    <w:p>
      <w:pPr>
        <w:tabs>
          <w:tab w:val="left" w:pos="7920"/>
        </w:tabs>
        <w:spacing w:line="420" w:lineRule="exact"/>
        <w:ind w:right="15" w:rightChars="7" w:firstLine="480"/>
        <w:rPr>
          <w:rFonts w:ascii="仿宋" w:hAnsi="仿宋" w:eastAsia="仿宋" w:cs="仿宋"/>
          <w:color w:val="auto"/>
          <w:sz w:val="24"/>
        </w:rPr>
      </w:pPr>
      <w:r>
        <w:rPr>
          <w:rFonts w:hint="eastAsia" w:ascii="仿宋" w:hAnsi="仿宋" w:eastAsia="仿宋" w:cs="仿宋"/>
          <w:color w:val="auto"/>
          <w:sz w:val="24"/>
        </w:rPr>
        <w:t>3.6.1投标人应仔细阅读本文件的所有内容，按本文件的要求编制投标文件，并保证所提供的全部资料真实有效。</w:t>
      </w:r>
    </w:p>
    <w:p>
      <w:pPr>
        <w:tabs>
          <w:tab w:val="left" w:pos="7920"/>
        </w:tabs>
        <w:spacing w:line="420" w:lineRule="exact"/>
        <w:ind w:right="15" w:rightChars="7" w:firstLine="480"/>
        <w:rPr>
          <w:rFonts w:ascii="仿宋" w:hAnsi="仿宋" w:eastAsia="仿宋" w:cs="仿宋"/>
          <w:color w:val="auto"/>
          <w:sz w:val="24"/>
        </w:rPr>
      </w:pPr>
      <w:r>
        <w:rPr>
          <w:rFonts w:hint="eastAsia" w:ascii="仿宋" w:hAnsi="仿宋" w:eastAsia="仿宋" w:cs="仿宋"/>
          <w:color w:val="auto"/>
          <w:sz w:val="24"/>
        </w:rPr>
        <w:t>3.6.2投标文件正本与副本应分别装订成册，并编制目录，要求胶装，不得使用活页装订，提倡双面打印。</w:t>
      </w:r>
    </w:p>
    <w:p>
      <w:pPr>
        <w:tabs>
          <w:tab w:val="left" w:pos="7920"/>
        </w:tabs>
        <w:spacing w:line="420" w:lineRule="exact"/>
        <w:ind w:right="15" w:rightChars="7" w:firstLine="480"/>
        <w:rPr>
          <w:rFonts w:ascii="仿宋" w:hAnsi="仿宋" w:eastAsia="仿宋" w:cs="仿宋"/>
          <w:color w:val="auto"/>
          <w:sz w:val="24"/>
        </w:rPr>
      </w:pPr>
      <w:r>
        <w:rPr>
          <w:rFonts w:hint="eastAsia" w:ascii="仿宋" w:hAnsi="仿宋" w:eastAsia="仿宋" w:cs="仿宋"/>
          <w:color w:val="auto"/>
          <w:sz w:val="24"/>
        </w:rPr>
        <w:t>3.6.3投标文件正本一份，副本肆份，正本和副本的封面上应清楚的标记“正本”或“副本”的字样。当副本和正本不一致时，以正本为准。</w:t>
      </w:r>
    </w:p>
    <w:p>
      <w:pPr>
        <w:tabs>
          <w:tab w:val="left" w:pos="7920"/>
        </w:tabs>
        <w:spacing w:line="420" w:lineRule="exact"/>
        <w:ind w:right="15" w:rightChars="7" w:firstLine="480"/>
        <w:rPr>
          <w:rFonts w:ascii="仿宋" w:hAnsi="仿宋" w:eastAsia="仿宋" w:cs="仿宋"/>
          <w:color w:val="auto"/>
          <w:sz w:val="24"/>
        </w:rPr>
      </w:pPr>
      <w:r>
        <w:rPr>
          <w:rFonts w:hint="eastAsia" w:ascii="仿宋" w:hAnsi="仿宋" w:eastAsia="仿宋" w:cs="仿宋"/>
          <w:color w:val="auto"/>
          <w:sz w:val="24"/>
        </w:rPr>
        <w:t>3.6.4投标文件应用不褪色的材料书写、打印或复印，并由投标人的法定代表人或其委托代理人签字或盖单位公章。委托代理人签字的，投标文件应附法定代表人签署的授权委托书。投标文件应尽量避免涂改、行间插字或删除。如果出现上述情况，改动之处应加盖单位公章或由投标人的法定代表人或其委托代理人签字确认。</w:t>
      </w:r>
    </w:p>
    <w:p>
      <w:pPr>
        <w:tabs>
          <w:tab w:val="left" w:pos="7920"/>
        </w:tabs>
        <w:spacing w:line="420" w:lineRule="exact"/>
        <w:ind w:right="15" w:rightChars="7" w:firstLine="480"/>
        <w:rPr>
          <w:rFonts w:ascii="仿宋" w:hAnsi="仿宋" w:eastAsia="仿宋" w:cs="仿宋"/>
          <w:color w:val="auto"/>
          <w:sz w:val="24"/>
        </w:rPr>
      </w:pPr>
      <w:r>
        <w:rPr>
          <w:rFonts w:hint="eastAsia" w:ascii="仿宋" w:hAnsi="仿宋" w:eastAsia="仿宋" w:cs="仿宋"/>
          <w:color w:val="auto"/>
          <w:sz w:val="24"/>
        </w:rPr>
        <w:t>3.6.5投标文件应当采用纸制书面方式，由投标人按照本招标文件指定的投标地点进行现场投标，招标代理机构不接受电报、电话、传真、邮寄等方式投标。</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3.6.6以同一投标人名义，递交两套或以上的投标文件，其投标无效。</w:t>
      </w:r>
    </w:p>
    <w:p>
      <w:pPr>
        <w:pStyle w:val="2"/>
        <w:numPr>
          <w:ilvl w:val="1"/>
          <w:numId w:val="0"/>
        </w:numPr>
        <w:spacing w:line="420" w:lineRule="exact"/>
        <w:jc w:val="center"/>
        <w:rPr>
          <w:rFonts w:ascii="仿宋" w:hAnsi="仿宋" w:eastAsia="仿宋" w:cs="仿宋"/>
          <w:color w:val="auto"/>
          <w:w w:val="100"/>
          <w:kern w:val="32"/>
          <w:sz w:val="24"/>
          <w:szCs w:val="24"/>
        </w:rPr>
      </w:pPr>
      <w:r>
        <w:rPr>
          <w:rFonts w:hint="eastAsia" w:ascii="仿宋" w:hAnsi="仿宋" w:eastAsia="仿宋" w:cs="仿宋"/>
          <w:color w:val="auto"/>
          <w:w w:val="100"/>
          <w:kern w:val="32"/>
          <w:sz w:val="24"/>
          <w:szCs w:val="24"/>
        </w:rPr>
        <w:t>4 投标</w:t>
      </w:r>
    </w:p>
    <w:p>
      <w:pPr>
        <w:tabs>
          <w:tab w:val="left" w:pos="7920"/>
        </w:tabs>
        <w:spacing w:line="420" w:lineRule="exact"/>
        <w:ind w:right="15" w:rightChars="7"/>
        <w:rPr>
          <w:rFonts w:ascii="仿宋" w:hAnsi="仿宋" w:eastAsia="仿宋" w:cs="仿宋"/>
          <w:b/>
          <w:color w:val="auto"/>
          <w:sz w:val="24"/>
        </w:rPr>
      </w:pPr>
      <w:r>
        <w:rPr>
          <w:rFonts w:hint="eastAsia" w:ascii="仿宋" w:hAnsi="仿宋" w:eastAsia="仿宋" w:cs="仿宋"/>
          <w:b/>
          <w:color w:val="auto"/>
          <w:sz w:val="24"/>
        </w:rPr>
        <w:t>4.1投标文件的密封和标识</w:t>
      </w:r>
    </w:p>
    <w:p>
      <w:pPr>
        <w:tabs>
          <w:tab w:val="left" w:pos="7920"/>
        </w:tabs>
        <w:spacing w:line="420" w:lineRule="exact"/>
        <w:ind w:right="15" w:rightChars="7" w:firstLine="480"/>
        <w:rPr>
          <w:rFonts w:ascii="仿宋" w:hAnsi="仿宋" w:eastAsia="仿宋" w:cs="仿宋"/>
          <w:color w:val="auto"/>
          <w:sz w:val="24"/>
        </w:rPr>
      </w:pPr>
      <w:r>
        <w:rPr>
          <w:rFonts w:hint="eastAsia" w:ascii="仿宋" w:hAnsi="仿宋" w:eastAsia="仿宋" w:cs="仿宋"/>
          <w:color w:val="auto"/>
          <w:sz w:val="24"/>
        </w:rPr>
        <w:t>4.1.1投标文件的密封：投标人应将投标文件密封后提交。</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4.1.2投标文件的标识：投标文件应包装后加贴封条，并在封套的封口处加盖投标人单位公章。投标文件的封套上至少要写明以下内容：</w:t>
      </w:r>
    </w:p>
    <w:p>
      <w:pPr>
        <w:tabs>
          <w:tab w:val="left" w:pos="7920"/>
        </w:tabs>
        <w:spacing w:line="420" w:lineRule="exact"/>
        <w:ind w:left="-94" w:leftChars="-45" w:right="15" w:rightChars="7" w:firstLine="576" w:firstLineChars="240"/>
        <w:rPr>
          <w:rFonts w:ascii="仿宋" w:hAnsi="仿宋" w:eastAsia="仿宋" w:cs="仿宋"/>
          <w:color w:val="auto"/>
          <w:sz w:val="24"/>
          <w:u w:val="single"/>
        </w:rPr>
      </w:pPr>
      <w:r>
        <w:rPr>
          <w:rFonts w:hint="eastAsia" w:ascii="仿宋" w:hAnsi="仿宋" w:eastAsia="仿宋" w:cs="仿宋"/>
          <w:color w:val="auto"/>
          <w:sz w:val="24"/>
        </w:rPr>
        <w:t>招标人名称：</w:t>
      </w:r>
      <w:bookmarkStart w:id="39" w:name="S_2_042"/>
      <w:r>
        <w:rPr>
          <w:rFonts w:hint="eastAsia" w:ascii="仿宋" w:hAnsi="仿宋" w:eastAsia="仿宋" w:cs="仿宋"/>
          <w:color w:val="auto"/>
          <w:sz w:val="24"/>
          <w:u w:val="single"/>
        </w:rPr>
        <w:t xml:space="preserve">                        </w:t>
      </w:r>
      <w:bookmarkEnd w:id="39"/>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投标人全称：</w:t>
      </w:r>
      <w:bookmarkStart w:id="40" w:name="S_2_043"/>
      <w:r>
        <w:rPr>
          <w:rFonts w:hint="eastAsia" w:ascii="仿宋" w:hAnsi="仿宋" w:eastAsia="仿宋" w:cs="仿宋"/>
          <w:color w:val="auto"/>
          <w:sz w:val="24"/>
          <w:u w:val="single"/>
        </w:rPr>
        <w:t xml:space="preserve">                      </w:t>
      </w:r>
      <w:bookmarkEnd w:id="40"/>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投标人的地址：</w:t>
      </w:r>
      <w:bookmarkStart w:id="41" w:name="S_2_044"/>
      <w:r>
        <w:rPr>
          <w:rFonts w:hint="eastAsia" w:ascii="仿宋" w:hAnsi="仿宋" w:eastAsia="仿宋" w:cs="仿宋"/>
          <w:color w:val="auto"/>
          <w:sz w:val="24"/>
          <w:u w:val="single"/>
        </w:rPr>
        <w:t xml:space="preserve">                    </w:t>
      </w:r>
      <w:bookmarkEnd w:id="41"/>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u w:val="single"/>
        </w:rPr>
        <w:t xml:space="preserve">（项目名称）   </w:t>
      </w:r>
      <w:r>
        <w:rPr>
          <w:rFonts w:hint="eastAsia" w:ascii="仿宋" w:hAnsi="仿宋" w:eastAsia="仿宋" w:cs="仿宋"/>
          <w:color w:val="auto"/>
          <w:sz w:val="24"/>
        </w:rPr>
        <w:t>投标文件在</w:t>
      </w:r>
      <w:r>
        <w:rPr>
          <w:rFonts w:hint="eastAsia" w:ascii="仿宋" w:hAnsi="仿宋" w:eastAsia="仿宋" w:cs="仿宋"/>
          <w:color w:val="auto"/>
          <w:sz w:val="24"/>
          <w:u w:val="single"/>
        </w:rPr>
        <w:t xml:space="preserve">               </w:t>
      </w:r>
      <w:r>
        <w:rPr>
          <w:rFonts w:hint="eastAsia" w:ascii="仿宋" w:hAnsi="仿宋" w:eastAsia="仿宋" w:cs="仿宋"/>
          <w:color w:val="auto"/>
          <w:sz w:val="24"/>
        </w:rPr>
        <w:t>（投标截止时间）前不得开启</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4.1.3未按本章第4.1.1项要求密封的投标文件，招标人不予受理。未按本章第4.1.2项要求加写标记的投标文件，招标人将不承担投标文件提前开封的责任。</w:t>
      </w:r>
    </w:p>
    <w:p>
      <w:pPr>
        <w:pStyle w:val="2"/>
        <w:spacing w:line="420" w:lineRule="exact"/>
        <w:ind w:left="0" w:firstLine="480" w:firstLineChars="200"/>
        <w:rPr>
          <w:rFonts w:ascii="仿宋" w:hAnsi="仿宋" w:eastAsia="仿宋" w:cs="仿宋"/>
          <w:b w:val="0"/>
          <w:bCs w:val="0"/>
          <w:color w:val="auto"/>
          <w:w w:val="100"/>
          <w:kern w:val="2"/>
          <w:sz w:val="24"/>
          <w:szCs w:val="24"/>
        </w:rPr>
      </w:pPr>
      <w:r>
        <w:rPr>
          <w:rFonts w:hint="eastAsia" w:ascii="仿宋" w:hAnsi="仿宋" w:eastAsia="仿宋" w:cs="仿宋"/>
          <w:b w:val="0"/>
          <w:bCs w:val="0"/>
          <w:color w:val="auto"/>
          <w:w w:val="100"/>
          <w:kern w:val="2"/>
          <w:sz w:val="24"/>
          <w:szCs w:val="24"/>
        </w:rPr>
        <w:t>4.1.4招标文件要求提供原件备查的资料，投标人统一密封包装与投标文件同时递交。</w:t>
      </w:r>
    </w:p>
    <w:p>
      <w:pPr>
        <w:tabs>
          <w:tab w:val="left" w:pos="7920"/>
        </w:tabs>
        <w:spacing w:line="420" w:lineRule="exact"/>
        <w:ind w:right="15" w:rightChars="7"/>
        <w:rPr>
          <w:rFonts w:ascii="仿宋" w:hAnsi="仿宋" w:eastAsia="仿宋" w:cs="仿宋"/>
          <w:b/>
          <w:color w:val="auto"/>
          <w:sz w:val="24"/>
        </w:rPr>
      </w:pPr>
      <w:r>
        <w:rPr>
          <w:rFonts w:hint="eastAsia" w:ascii="仿宋" w:hAnsi="仿宋" w:eastAsia="仿宋" w:cs="仿宋"/>
          <w:b/>
          <w:color w:val="auto"/>
          <w:sz w:val="24"/>
        </w:rPr>
        <w:t>4.2投标文件的递交</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4.2.1</w:t>
      </w:r>
      <w:r>
        <w:rPr>
          <w:rFonts w:hint="eastAsia" w:ascii="仿宋" w:hAnsi="仿宋" w:eastAsia="仿宋" w:cs="仿宋"/>
          <w:color w:val="auto"/>
          <w:sz w:val="24"/>
          <w:lang w:val="zh-TW"/>
        </w:rPr>
        <w:t>投标人应在招标公告规定的投标截止时间前递交投标文件。资格审查资料原件待评标结束后退还。</w:t>
      </w:r>
    </w:p>
    <w:p>
      <w:pPr>
        <w:tabs>
          <w:tab w:val="left" w:pos="7920"/>
        </w:tabs>
        <w:spacing w:line="420" w:lineRule="exact"/>
        <w:ind w:left="-94" w:leftChars="-45" w:right="15" w:rightChars="7" w:firstLine="576" w:firstLineChars="240"/>
        <w:rPr>
          <w:rFonts w:ascii="仿宋" w:hAnsi="仿宋" w:eastAsia="仿宋" w:cs="仿宋"/>
          <w:color w:val="auto"/>
          <w:sz w:val="24"/>
        </w:rPr>
      </w:pPr>
      <w:bookmarkStart w:id="42" w:name="_Hlt232501854"/>
      <w:bookmarkEnd w:id="42"/>
      <w:r>
        <w:rPr>
          <w:rFonts w:hint="eastAsia" w:ascii="仿宋" w:hAnsi="仿宋" w:eastAsia="仿宋" w:cs="仿宋"/>
          <w:color w:val="auto"/>
          <w:sz w:val="24"/>
        </w:rPr>
        <w:t>4.2.2投标人递交投标文件的地点：见招标公告。</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4.2.3除招标文件另有规定外，投标人所递交的投标文件不予退还。</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4.2.4</w:t>
      </w:r>
      <w:r>
        <w:rPr>
          <w:rFonts w:hint="eastAsia" w:ascii="仿宋" w:hAnsi="仿宋" w:eastAsia="仿宋" w:cs="仿宋"/>
          <w:color w:val="auto"/>
          <w:sz w:val="24"/>
          <w:lang w:val="zh-TW"/>
        </w:rPr>
        <w:t>逾期送达的或者未送达指定地点的或未按要求密封的投标文件，招标人不予受理。</w:t>
      </w:r>
    </w:p>
    <w:p>
      <w:pPr>
        <w:tabs>
          <w:tab w:val="left" w:pos="7920"/>
        </w:tabs>
        <w:spacing w:line="420" w:lineRule="exact"/>
        <w:ind w:right="15" w:rightChars="7"/>
        <w:rPr>
          <w:rFonts w:ascii="仿宋" w:hAnsi="仿宋" w:eastAsia="仿宋" w:cs="仿宋"/>
          <w:b/>
          <w:color w:val="auto"/>
          <w:sz w:val="24"/>
        </w:rPr>
      </w:pPr>
      <w:r>
        <w:rPr>
          <w:rFonts w:hint="eastAsia" w:ascii="仿宋" w:hAnsi="仿宋" w:eastAsia="仿宋" w:cs="仿宋"/>
          <w:b/>
          <w:color w:val="auto"/>
          <w:sz w:val="24"/>
        </w:rPr>
        <w:t>4.3投标文件的修改与撤回</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4.3.1在招标公告规定的投标截止时间前，投标人可以修改或撤回已递交的投标文件，但应以书面形式通知招标人。</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4.3.2投标人修改或撤回已递交投标文件的书面通知应按照本章第3.6.4项的要求签字或盖章。招标人收到书面通知后，向投标人出具签收凭证。</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4.3.3修改的内容为投标文件的组成部分。修改的投标文件应按照本章第3条、第4条规定进行编制、密封、标记和递交，并标明“修改”字样。</w:t>
      </w:r>
    </w:p>
    <w:p>
      <w:pPr>
        <w:pStyle w:val="2"/>
        <w:numPr>
          <w:ilvl w:val="1"/>
          <w:numId w:val="0"/>
        </w:numPr>
        <w:spacing w:line="420" w:lineRule="exact"/>
        <w:jc w:val="center"/>
        <w:rPr>
          <w:rFonts w:ascii="仿宋" w:hAnsi="仿宋" w:eastAsia="仿宋" w:cs="仿宋"/>
          <w:color w:val="auto"/>
          <w:w w:val="100"/>
          <w:kern w:val="32"/>
          <w:sz w:val="24"/>
          <w:szCs w:val="24"/>
        </w:rPr>
      </w:pPr>
      <w:bookmarkStart w:id="43" w:name="_Toc321052826"/>
      <w:bookmarkStart w:id="44" w:name="_Toc318840499"/>
      <w:bookmarkStart w:id="45" w:name="_Toc321052825"/>
      <w:bookmarkStart w:id="46" w:name="_Toc318840498"/>
      <w:r>
        <w:rPr>
          <w:rFonts w:hint="eastAsia" w:ascii="仿宋" w:hAnsi="仿宋" w:eastAsia="仿宋" w:cs="仿宋"/>
          <w:color w:val="auto"/>
          <w:w w:val="100"/>
          <w:kern w:val="32"/>
          <w:sz w:val="24"/>
          <w:szCs w:val="24"/>
        </w:rPr>
        <w:t>5 开标</w:t>
      </w:r>
      <w:bookmarkEnd w:id="43"/>
      <w:bookmarkEnd w:id="44"/>
      <w:r>
        <w:rPr>
          <w:rFonts w:hint="eastAsia" w:ascii="仿宋" w:hAnsi="仿宋" w:eastAsia="仿宋" w:cs="仿宋"/>
          <w:color w:val="auto"/>
          <w:w w:val="100"/>
          <w:kern w:val="32"/>
          <w:sz w:val="24"/>
          <w:szCs w:val="24"/>
        </w:rPr>
        <w:t>及资格后审</w:t>
      </w:r>
    </w:p>
    <w:p>
      <w:pPr>
        <w:tabs>
          <w:tab w:val="left" w:pos="7920"/>
        </w:tabs>
        <w:spacing w:line="420" w:lineRule="exact"/>
        <w:ind w:right="15" w:rightChars="7"/>
        <w:rPr>
          <w:rFonts w:ascii="仿宋" w:hAnsi="仿宋" w:eastAsia="仿宋" w:cs="仿宋"/>
          <w:b/>
          <w:color w:val="auto"/>
          <w:sz w:val="24"/>
        </w:rPr>
      </w:pPr>
      <w:r>
        <w:rPr>
          <w:rFonts w:hint="eastAsia" w:ascii="仿宋" w:hAnsi="仿宋" w:eastAsia="仿宋" w:cs="仿宋"/>
          <w:b/>
          <w:color w:val="auto"/>
          <w:sz w:val="24"/>
        </w:rPr>
        <w:t>5.1开标时间和地点</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招标人在投标人须知第4.2.1条规定的投标截止时间（开标时间）和投标人须知第4.2.2条规定的地点公开开标，召开开标会议时，投标人必须派法定代表人持法定代表人证明身份原件和本人身份证原件（或其授权委托代理人持授权委托书原件、本人身份证原件）、《投标承诺书》原件、投标文件准时参加。</w:t>
      </w:r>
    </w:p>
    <w:p>
      <w:pPr>
        <w:tabs>
          <w:tab w:val="left" w:pos="7920"/>
        </w:tabs>
        <w:spacing w:line="420" w:lineRule="exact"/>
        <w:ind w:right="15" w:rightChars="7"/>
        <w:rPr>
          <w:rFonts w:ascii="仿宋" w:hAnsi="仿宋" w:eastAsia="仿宋" w:cs="仿宋"/>
          <w:b/>
          <w:color w:val="auto"/>
          <w:sz w:val="24"/>
        </w:rPr>
      </w:pPr>
      <w:r>
        <w:rPr>
          <w:rFonts w:hint="eastAsia" w:ascii="仿宋" w:hAnsi="仿宋" w:eastAsia="仿宋" w:cs="仿宋"/>
          <w:b/>
          <w:color w:val="auto"/>
          <w:sz w:val="24"/>
        </w:rPr>
        <w:t>5.2投标文件有下列情形之一的，招标人不予受理：</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5.2.1逾期送达的或者未送达指定地点的；</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5.2.2未按招标文件要求密封的。</w:t>
      </w:r>
    </w:p>
    <w:p>
      <w:pPr>
        <w:tabs>
          <w:tab w:val="left" w:pos="7920"/>
        </w:tabs>
        <w:spacing w:line="420" w:lineRule="exact"/>
        <w:ind w:right="15" w:rightChars="7"/>
        <w:rPr>
          <w:rFonts w:ascii="仿宋" w:hAnsi="仿宋" w:eastAsia="仿宋" w:cs="仿宋"/>
          <w:b/>
          <w:color w:val="auto"/>
          <w:sz w:val="24"/>
        </w:rPr>
      </w:pPr>
      <w:r>
        <w:rPr>
          <w:rFonts w:hint="eastAsia" w:ascii="仿宋" w:hAnsi="仿宋" w:eastAsia="仿宋" w:cs="仿宋"/>
          <w:b/>
          <w:color w:val="auto"/>
          <w:sz w:val="24"/>
        </w:rPr>
        <w:t>5.3开标程序</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5.3.1宣布开标纪律；</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5.3.2公布在投标截止时间前递交投标文件的投标人名称；</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5.3.3宣布开标人、唱标人、记录人、监督人等有关人员名单；</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5.3.4核验各投标人代表的合法身份（法定代表人身份证明书或授权委托书原件及本人身份证原件）和《投标承诺书》原件；</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5.3.5由投标人代表检查投标文件的密封情况；</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5.3.6按照宣布的开标顺序当众开标，公布投标人名称，投标价格等其他内容，并记录在案；</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5.3.7开标时，投标文件的大写金额和小写金额不一致的，以大写金额为准；对不同文字文本投标文件的解释发生异议的，以中文文本为准；</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5.3.8投标人代表、招标人代表、监督人、记录人等有关人员在开标记录上签字确认； 并将开标时相关资料密封后交评标小组；</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5.3.9开标结束。</w:t>
      </w:r>
    </w:p>
    <w:p>
      <w:pPr>
        <w:tabs>
          <w:tab w:val="left" w:pos="7920"/>
        </w:tabs>
        <w:spacing w:line="420" w:lineRule="exact"/>
        <w:ind w:right="15" w:rightChars="7"/>
        <w:rPr>
          <w:rFonts w:ascii="仿宋" w:hAnsi="仿宋" w:eastAsia="仿宋" w:cs="仿宋"/>
          <w:b/>
          <w:color w:val="auto"/>
          <w:sz w:val="24"/>
        </w:rPr>
      </w:pPr>
      <w:bookmarkStart w:id="47" w:name="_Toc418174784"/>
      <w:bookmarkStart w:id="48" w:name="_Toc419379763"/>
      <w:r>
        <w:rPr>
          <w:rFonts w:hint="eastAsia" w:ascii="仿宋" w:hAnsi="仿宋" w:eastAsia="仿宋" w:cs="仿宋"/>
          <w:b/>
          <w:color w:val="auto"/>
          <w:sz w:val="24"/>
        </w:rPr>
        <w:t>5.4资格后审程序</w:t>
      </w:r>
      <w:bookmarkEnd w:id="47"/>
      <w:bookmarkEnd w:id="48"/>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5.4.1 审查投标单位法定代表人或其授权委托代理人是否参加资格审查。</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5.4.2 由投标人的法定代表人（或其授权委托代理人）到资格后审现场提交《投标承诺书》原件。</w:t>
      </w:r>
    </w:p>
    <w:p>
      <w:pPr>
        <w:tabs>
          <w:tab w:val="left" w:pos="7920"/>
        </w:tabs>
        <w:spacing w:line="420" w:lineRule="exact"/>
        <w:ind w:left="-94" w:leftChars="-45" w:right="15" w:rightChars="7" w:firstLine="576" w:firstLineChars="240"/>
        <w:rPr>
          <w:rFonts w:ascii="仿宋" w:hAnsi="仿宋" w:eastAsia="仿宋" w:cs="仿宋"/>
          <w:color w:val="auto"/>
          <w:sz w:val="24"/>
        </w:rPr>
      </w:pPr>
      <w:r>
        <w:rPr>
          <w:rFonts w:hint="eastAsia" w:ascii="仿宋" w:hAnsi="仿宋" w:eastAsia="仿宋" w:cs="仿宋"/>
          <w:color w:val="auto"/>
          <w:sz w:val="24"/>
        </w:rPr>
        <w:t>5.4.3招标人及招标代理机构按招标文件规定对投标单位资格审查资料进行审查，确定合格投标人或不合格投标人名单。</w:t>
      </w:r>
    </w:p>
    <w:p>
      <w:pPr>
        <w:pStyle w:val="2"/>
        <w:numPr>
          <w:ilvl w:val="1"/>
          <w:numId w:val="0"/>
        </w:numPr>
        <w:spacing w:line="420" w:lineRule="exact"/>
        <w:jc w:val="center"/>
        <w:rPr>
          <w:rFonts w:ascii="仿宋" w:hAnsi="仿宋" w:eastAsia="仿宋" w:cs="仿宋"/>
          <w:color w:val="auto"/>
          <w:w w:val="100"/>
          <w:kern w:val="32"/>
          <w:sz w:val="24"/>
          <w:szCs w:val="24"/>
        </w:rPr>
      </w:pPr>
      <w:r>
        <w:rPr>
          <w:rFonts w:hint="eastAsia" w:ascii="仿宋" w:hAnsi="仿宋" w:eastAsia="仿宋" w:cs="仿宋"/>
          <w:color w:val="auto"/>
          <w:w w:val="100"/>
          <w:kern w:val="32"/>
          <w:sz w:val="24"/>
          <w:szCs w:val="24"/>
        </w:rPr>
        <w:t>6 评标</w:t>
      </w:r>
    </w:p>
    <w:p>
      <w:pPr>
        <w:tabs>
          <w:tab w:val="left" w:pos="7920"/>
        </w:tabs>
        <w:spacing w:line="420" w:lineRule="exact"/>
        <w:ind w:right="15" w:rightChars="7"/>
        <w:rPr>
          <w:rFonts w:ascii="仿宋" w:hAnsi="仿宋" w:eastAsia="仿宋" w:cs="仿宋"/>
          <w:b/>
          <w:color w:val="auto"/>
          <w:sz w:val="24"/>
        </w:rPr>
      </w:pPr>
      <w:r>
        <w:rPr>
          <w:rFonts w:hint="eastAsia" w:ascii="仿宋" w:hAnsi="仿宋" w:eastAsia="仿宋" w:cs="仿宋"/>
          <w:b/>
          <w:color w:val="auto"/>
          <w:sz w:val="24"/>
        </w:rPr>
        <w:t>6.1评标小组的组成</w:t>
      </w:r>
    </w:p>
    <w:p>
      <w:pPr>
        <w:tabs>
          <w:tab w:val="left" w:pos="7920"/>
        </w:tabs>
        <w:spacing w:line="420" w:lineRule="exact"/>
        <w:ind w:right="15" w:rightChars="7" w:firstLine="480" w:firstLineChars="200"/>
        <w:rPr>
          <w:rFonts w:ascii="仿宋" w:hAnsi="仿宋" w:eastAsia="仿宋" w:cs="仿宋"/>
          <w:color w:val="auto"/>
          <w:sz w:val="24"/>
        </w:rPr>
      </w:pPr>
      <w:r>
        <w:rPr>
          <w:rFonts w:hint="eastAsia" w:ascii="仿宋" w:hAnsi="仿宋" w:eastAsia="仿宋" w:cs="仿宋"/>
          <w:color w:val="auto"/>
          <w:sz w:val="24"/>
        </w:rPr>
        <w:t>6.1.1本项目评标小组由招标人代表及专家7人组成。</w:t>
      </w:r>
    </w:p>
    <w:p>
      <w:pPr>
        <w:tabs>
          <w:tab w:val="left" w:pos="7920"/>
        </w:tabs>
        <w:spacing w:line="420" w:lineRule="exact"/>
        <w:ind w:right="15" w:rightChars="7" w:firstLine="480" w:firstLineChars="200"/>
        <w:rPr>
          <w:rFonts w:hint="eastAsia" w:ascii="仿宋" w:hAnsi="仿宋" w:eastAsia="仿宋" w:cs="仿宋"/>
          <w:color w:val="auto"/>
          <w:sz w:val="24"/>
        </w:rPr>
      </w:pPr>
      <w:r>
        <w:rPr>
          <w:rFonts w:hint="eastAsia" w:ascii="仿宋" w:hAnsi="仿宋" w:eastAsia="仿宋" w:cs="仿宋"/>
          <w:color w:val="auto"/>
          <w:sz w:val="24"/>
        </w:rPr>
        <w:t>6.1.2评标小组成员有下列情形之一的，应当回避：</w:t>
      </w:r>
    </w:p>
    <w:p>
      <w:pPr>
        <w:tabs>
          <w:tab w:val="left" w:pos="7920"/>
        </w:tabs>
        <w:spacing w:line="420" w:lineRule="exact"/>
        <w:ind w:right="15" w:rightChars="7" w:firstLine="480" w:firstLineChars="200"/>
        <w:rPr>
          <w:rFonts w:hint="eastAsia" w:ascii="仿宋" w:hAnsi="仿宋" w:eastAsia="仿宋" w:cs="仿宋"/>
          <w:color w:val="auto"/>
          <w:sz w:val="24"/>
        </w:rPr>
      </w:pPr>
      <w:r>
        <w:rPr>
          <w:rFonts w:hint="eastAsia" w:ascii="仿宋" w:hAnsi="仿宋" w:eastAsia="仿宋" w:cs="仿宋"/>
          <w:color w:val="auto"/>
          <w:sz w:val="24"/>
        </w:rPr>
        <w:t>（一）投标人或者投标人主要负责人的近亲属；</w:t>
      </w:r>
    </w:p>
    <w:p>
      <w:pPr>
        <w:tabs>
          <w:tab w:val="left" w:pos="7920"/>
        </w:tabs>
        <w:spacing w:line="420" w:lineRule="exact"/>
        <w:ind w:right="15" w:rightChars="7" w:firstLine="480" w:firstLineChars="200"/>
        <w:rPr>
          <w:rFonts w:hint="eastAsia" w:ascii="仿宋" w:hAnsi="仿宋" w:eastAsia="仿宋" w:cs="仿宋"/>
          <w:color w:val="auto"/>
          <w:sz w:val="24"/>
        </w:rPr>
      </w:pPr>
      <w:r>
        <w:rPr>
          <w:rFonts w:hint="eastAsia" w:ascii="仿宋" w:hAnsi="仿宋" w:eastAsia="仿宋" w:cs="仿宋"/>
          <w:color w:val="auto"/>
          <w:sz w:val="24"/>
        </w:rPr>
        <w:t>（二）项目主管部门或者行政监督部门的人员；</w:t>
      </w:r>
    </w:p>
    <w:p>
      <w:pPr>
        <w:tabs>
          <w:tab w:val="left" w:pos="7920"/>
        </w:tabs>
        <w:spacing w:line="420" w:lineRule="exact"/>
        <w:ind w:right="15" w:rightChars="7" w:firstLine="480" w:firstLineChars="200"/>
        <w:rPr>
          <w:rFonts w:ascii="仿宋" w:hAnsi="仿宋" w:eastAsia="仿宋" w:cs="仿宋"/>
          <w:color w:val="auto"/>
          <w:sz w:val="24"/>
        </w:rPr>
      </w:pPr>
      <w:r>
        <w:rPr>
          <w:rFonts w:hint="eastAsia" w:ascii="仿宋" w:hAnsi="仿宋" w:eastAsia="仿宋" w:cs="仿宋"/>
          <w:color w:val="auto"/>
          <w:sz w:val="24"/>
        </w:rPr>
        <w:t>（三）与投标人有经济利益关系，可能影响对投标公正评审的；</w:t>
      </w:r>
    </w:p>
    <w:p>
      <w:pPr>
        <w:tabs>
          <w:tab w:val="left" w:pos="7920"/>
        </w:tabs>
        <w:spacing w:line="420" w:lineRule="exact"/>
        <w:ind w:right="15" w:rightChars="7" w:firstLine="480" w:firstLineChars="200"/>
        <w:rPr>
          <w:rFonts w:ascii="仿宋" w:hAnsi="仿宋" w:eastAsia="仿宋" w:cs="仿宋"/>
          <w:color w:val="auto"/>
          <w:sz w:val="24"/>
        </w:rPr>
      </w:pPr>
      <w:r>
        <w:rPr>
          <w:rFonts w:hint="eastAsia" w:ascii="仿宋" w:hAnsi="仿宋" w:eastAsia="仿宋" w:cs="仿宋"/>
          <w:color w:val="auto"/>
          <w:sz w:val="24"/>
        </w:rPr>
        <w:t>（四）曾因在招标、评标以及其他与招标投标有关活动中从事违法行为而受过行政处罚或刑事处罚的。</w:t>
      </w:r>
    </w:p>
    <w:p>
      <w:pPr>
        <w:tabs>
          <w:tab w:val="left" w:pos="7920"/>
        </w:tabs>
        <w:spacing w:line="420" w:lineRule="exact"/>
        <w:ind w:right="15" w:rightChars="7"/>
        <w:rPr>
          <w:rFonts w:ascii="仿宋" w:hAnsi="仿宋" w:eastAsia="仿宋" w:cs="仿宋"/>
          <w:b/>
          <w:color w:val="auto"/>
          <w:sz w:val="24"/>
        </w:rPr>
      </w:pPr>
      <w:r>
        <w:rPr>
          <w:rFonts w:hint="eastAsia" w:ascii="仿宋" w:hAnsi="仿宋" w:eastAsia="仿宋" w:cs="仿宋"/>
          <w:b/>
          <w:color w:val="auto"/>
          <w:sz w:val="24"/>
        </w:rPr>
        <w:t>6.2评标原则</w:t>
      </w:r>
    </w:p>
    <w:p>
      <w:pPr>
        <w:tabs>
          <w:tab w:val="left" w:pos="7920"/>
        </w:tabs>
        <w:spacing w:line="420" w:lineRule="exact"/>
        <w:ind w:right="15" w:rightChars="7" w:firstLine="360" w:firstLineChars="150"/>
        <w:rPr>
          <w:rFonts w:ascii="仿宋" w:hAnsi="仿宋" w:eastAsia="仿宋" w:cs="仿宋"/>
          <w:color w:val="auto"/>
          <w:sz w:val="24"/>
        </w:rPr>
      </w:pPr>
      <w:r>
        <w:rPr>
          <w:rFonts w:hint="eastAsia" w:ascii="仿宋" w:hAnsi="仿宋" w:eastAsia="仿宋" w:cs="仿宋"/>
          <w:color w:val="auto"/>
          <w:sz w:val="24"/>
        </w:rPr>
        <w:t>评标活动遵循公平、公正、科学和择优的原则。</w:t>
      </w:r>
    </w:p>
    <w:p>
      <w:pPr>
        <w:tabs>
          <w:tab w:val="left" w:pos="7920"/>
        </w:tabs>
        <w:spacing w:line="420" w:lineRule="exact"/>
        <w:ind w:right="15" w:rightChars="7"/>
        <w:rPr>
          <w:rFonts w:ascii="仿宋" w:hAnsi="仿宋" w:eastAsia="仿宋" w:cs="仿宋"/>
          <w:b/>
          <w:color w:val="auto"/>
          <w:sz w:val="24"/>
        </w:rPr>
      </w:pPr>
      <w:r>
        <w:rPr>
          <w:rFonts w:hint="eastAsia" w:ascii="仿宋" w:hAnsi="仿宋" w:eastAsia="仿宋" w:cs="仿宋"/>
          <w:b/>
          <w:color w:val="auto"/>
          <w:sz w:val="24"/>
        </w:rPr>
        <w:t>6.3评标办法</w:t>
      </w:r>
    </w:p>
    <w:p>
      <w:pPr>
        <w:tabs>
          <w:tab w:val="left" w:pos="7920"/>
        </w:tabs>
        <w:spacing w:line="420" w:lineRule="exact"/>
        <w:ind w:right="15" w:rightChars="7" w:firstLine="480" w:firstLineChars="200"/>
        <w:rPr>
          <w:rFonts w:ascii="仿宋" w:hAnsi="仿宋" w:eastAsia="仿宋" w:cs="仿宋"/>
          <w:color w:val="auto"/>
          <w:sz w:val="24"/>
        </w:rPr>
      </w:pPr>
      <w:r>
        <w:rPr>
          <w:rFonts w:hint="eastAsia" w:ascii="仿宋" w:hAnsi="仿宋" w:eastAsia="仿宋" w:cs="仿宋"/>
          <w:color w:val="auto"/>
          <w:sz w:val="24"/>
        </w:rPr>
        <w:t>6.3.1本项目评标方法采用综合评分法，是指在最大限度地满足招标文件实质性要求前提下，按照本招标文件中规定的各项因素进行综合评审后，以评标总得分最高的投标人作为中标候选人或者中标人的评标方法。</w:t>
      </w:r>
    </w:p>
    <w:p>
      <w:pPr>
        <w:tabs>
          <w:tab w:val="left" w:pos="7920"/>
        </w:tabs>
        <w:spacing w:line="420" w:lineRule="exact"/>
        <w:ind w:right="15" w:rightChars="7" w:firstLine="480" w:firstLineChars="200"/>
        <w:rPr>
          <w:rFonts w:ascii="仿宋" w:hAnsi="仿宋" w:eastAsia="仿宋" w:cs="仿宋"/>
          <w:color w:val="auto"/>
          <w:sz w:val="24"/>
        </w:rPr>
      </w:pPr>
      <w:r>
        <w:rPr>
          <w:rFonts w:hint="eastAsia" w:ascii="仿宋" w:hAnsi="仿宋" w:eastAsia="仿宋" w:cs="仿宋"/>
          <w:color w:val="auto"/>
          <w:sz w:val="24"/>
        </w:rPr>
        <w:t>6.3.2评标标准具体详见第六章。</w:t>
      </w:r>
    </w:p>
    <w:p>
      <w:pPr>
        <w:tabs>
          <w:tab w:val="left" w:pos="7920"/>
        </w:tabs>
        <w:spacing w:line="420" w:lineRule="exact"/>
        <w:ind w:right="15" w:rightChars="7" w:firstLine="480" w:firstLineChars="200"/>
        <w:rPr>
          <w:rFonts w:ascii="仿宋" w:hAnsi="仿宋" w:eastAsia="仿宋" w:cs="仿宋"/>
          <w:color w:val="auto"/>
          <w:sz w:val="24"/>
        </w:rPr>
      </w:pPr>
      <w:r>
        <w:rPr>
          <w:rFonts w:hint="eastAsia" w:ascii="仿宋" w:hAnsi="仿宋" w:eastAsia="仿宋" w:cs="仿宋"/>
          <w:color w:val="auto"/>
          <w:sz w:val="24"/>
        </w:rPr>
        <w:t>6.3.3资格后审评审内容：按招标公告和招标文件规定的“投标人资质要求”进行审查，填写资格性检查一览表。投标人根据招标公告和招标文件要求将有关证明和证件提供原件，评标小组首先对投标人资格进行审查，确定合格投标人。投标人资格条件有一项不符合规定的，为不合格投标人，不得进入下一轮评审，不合格投标人评标小组需作出原因说明。</w:t>
      </w:r>
    </w:p>
    <w:bookmarkEnd w:id="14"/>
    <w:bookmarkEnd w:id="45"/>
    <w:bookmarkEnd w:id="46"/>
    <w:p>
      <w:pPr>
        <w:pStyle w:val="2"/>
        <w:numPr>
          <w:ilvl w:val="1"/>
          <w:numId w:val="0"/>
        </w:numPr>
        <w:spacing w:line="420" w:lineRule="exact"/>
        <w:jc w:val="center"/>
        <w:rPr>
          <w:rFonts w:ascii="仿宋" w:hAnsi="仿宋" w:eastAsia="仿宋" w:cs="仿宋"/>
          <w:color w:val="auto"/>
          <w:w w:val="100"/>
          <w:kern w:val="32"/>
          <w:sz w:val="24"/>
          <w:szCs w:val="24"/>
        </w:rPr>
      </w:pPr>
      <w:bookmarkStart w:id="49" w:name="_Toc318840501"/>
      <w:bookmarkStart w:id="50" w:name="_Toc321052828"/>
      <w:r>
        <w:rPr>
          <w:rFonts w:hint="eastAsia" w:ascii="仿宋" w:hAnsi="仿宋" w:eastAsia="仿宋" w:cs="仿宋"/>
          <w:color w:val="auto"/>
          <w:w w:val="100"/>
          <w:kern w:val="32"/>
          <w:sz w:val="24"/>
          <w:szCs w:val="24"/>
        </w:rPr>
        <w:t xml:space="preserve">7 </w:t>
      </w:r>
      <w:bookmarkEnd w:id="49"/>
      <w:bookmarkEnd w:id="50"/>
      <w:r>
        <w:rPr>
          <w:rFonts w:hint="eastAsia" w:ascii="仿宋" w:hAnsi="仿宋" w:eastAsia="仿宋" w:cs="仿宋"/>
          <w:color w:val="auto"/>
          <w:w w:val="100"/>
          <w:kern w:val="32"/>
          <w:sz w:val="24"/>
          <w:szCs w:val="24"/>
        </w:rPr>
        <w:t>合同授予</w:t>
      </w:r>
    </w:p>
    <w:p>
      <w:pPr>
        <w:spacing w:line="420" w:lineRule="exact"/>
        <w:ind w:left="2"/>
        <w:rPr>
          <w:rFonts w:ascii="仿宋" w:hAnsi="仿宋" w:eastAsia="仿宋" w:cs="仿宋"/>
          <w:b/>
          <w:bCs/>
          <w:color w:val="auto"/>
          <w:sz w:val="24"/>
        </w:rPr>
      </w:pPr>
      <w:r>
        <w:rPr>
          <w:rFonts w:hint="eastAsia" w:ascii="仿宋" w:hAnsi="仿宋" w:eastAsia="仿宋" w:cs="仿宋"/>
          <w:b/>
          <w:bCs/>
          <w:color w:val="auto"/>
          <w:sz w:val="24"/>
        </w:rPr>
        <w:t>7.1.1定标及重新招标</w:t>
      </w:r>
    </w:p>
    <w:p>
      <w:pPr>
        <w:tabs>
          <w:tab w:val="left" w:pos="7920"/>
        </w:tabs>
        <w:spacing w:line="420" w:lineRule="exact"/>
        <w:ind w:right="15" w:rightChars="7" w:firstLine="480" w:firstLineChars="200"/>
        <w:rPr>
          <w:rFonts w:ascii="仿宋" w:hAnsi="仿宋" w:eastAsia="仿宋" w:cs="仿宋"/>
          <w:color w:val="auto"/>
          <w:sz w:val="24"/>
        </w:rPr>
      </w:pPr>
      <w:r>
        <w:rPr>
          <w:rFonts w:hint="eastAsia" w:ascii="仿宋" w:hAnsi="仿宋" w:eastAsia="仿宋" w:cs="仿宋"/>
          <w:color w:val="auto"/>
          <w:sz w:val="24"/>
        </w:rPr>
        <w:t>7.1.1由评标小组提交书面评标报告并推荐1-3名中标候选人，同时标明排列顺序。招标人应当在评标小组推荐的中标候选人中确定中标人。</w:t>
      </w:r>
    </w:p>
    <w:p>
      <w:pPr>
        <w:tabs>
          <w:tab w:val="left" w:pos="7920"/>
        </w:tabs>
        <w:spacing w:line="420" w:lineRule="exact"/>
        <w:ind w:right="15" w:rightChars="7" w:firstLine="480" w:firstLineChars="200"/>
        <w:rPr>
          <w:rFonts w:ascii="仿宋" w:hAnsi="仿宋" w:eastAsia="仿宋" w:cs="仿宋"/>
          <w:color w:val="auto"/>
          <w:sz w:val="24"/>
        </w:rPr>
      </w:pPr>
      <w:r>
        <w:rPr>
          <w:rFonts w:hint="eastAsia" w:ascii="仿宋" w:hAnsi="仿宋" w:eastAsia="仿宋" w:cs="仿宋"/>
          <w:color w:val="auto"/>
          <w:sz w:val="24"/>
        </w:rPr>
        <w:t>7.1.2招标人应当自收到评标报告和推荐中标候选人名单之日起，在康乃馨网站 http://www.hnknx.com/交易电子服务平台上对推荐的中标候选人进行公示，公示期为三个工作日，投标人或其他利害关系人如有异议，应当在中标候选人公示期间提出。若无异议，招标人将确定中标候选人为该项目的最终中标人。评标和定标应当在开标后三日内完成，不能按期完成的，招标人应当通知所有投标人延长期限。</w:t>
      </w:r>
    </w:p>
    <w:p>
      <w:pPr>
        <w:tabs>
          <w:tab w:val="left" w:pos="7920"/>
        </w:tabs>
        <w:spacing w:line="420" w:lineRule="exact"/>
        <w:ind w:right="15" w:rightChars="7" w:firstLine="480" w:firstLineChars="200"/>
        <w:rPr>
          <w:rFonts w:ascii="仿宋" w:hAnsi="仿宋" w:eastAsia="仿宋" w:cs="仿宋"/>
          <w:color w:val="auto"/>
          <w:sz w:val="24"/>
        </w:rPr>
      </w:pPr>
      <w:r>
        <w:rPr>
          <w:rFonts w:hint="eastAsia" w:ascii="仿宋" w:hAnsi="仿宋" w:eastAsia="仿宋" w:cs="仿宋"/>
          <w:color w:val="auto"/>
          <w:sz w:val="24"/>
        </w:rPr>
        <w:t>7.1.3排名第一的中标候选人放弃中标、因不可抗力提出不能履行合同，或者未按招标文件的规定提交履约担保的，招标人可以按照评标小组提出的中标候选人名单排序依次确定其他中标候选人为中标人，也可以重新招标。</w:t>
      </w:r>
    </w:p>
    <w:p>
      <w:pPr>
        <w:tabs>
          <w:tab w:val="left" w:pos="7920"/>
        </w:tabs>
        <w:spacing w:line="420" w:lineRule="exact"/>
        <w:ind w:right="15" w:rightChars="7"/>
        <w:rPr>
          <w:rFonts w:ascii="仿宋" w:hAnsi="仿宋" w:eastAsia="仿宋" w:cs="仿宋"/>
          <w:b/>
          <w:color w:val="auto"/>
          <w:sz w:val="24"/>
        </w:rPr>
      </w:pPr>
      <w:r>
        <w:rPr>
          <w:rFonts w:hint="eastAsia" w:ascii="仿宋" w:hAnsi="仿宋" w:eastAsia="仿宋" w:cs="仿宋"/>
          <w:b/>
          <w:color w:val="auto"/>
          <w:sz w:val="24"/>
        </w:rPr>
        <w:t>7.2中标通知</w:t>
      </w:r>
    </w:p>
    <w:p>
      <w:pPr>
        <w:tabs>
          <w:tab w:val="left" w:pos="7920"/>
        </w:tabs>
        <w:spacing w:line="420" w:lineRule="exact"/>
        <w:ind w:right="15" w:rightChars="7" w:firstLine="480" w:firstLineChars="200"/>
        <w:rPr>
          <w:rFonts w:ascii="仿宋" w:hAnsi="仿宋" w:eastAsia="仿宋" w:cs="仿宋"/>
          <w:color w:val="auto"/>
          <w:sz w:val="24"/>
        </w:rPr>
      </w:pPr>
      <w:r>
        <w:rPr>
          <w:rFonts w:hint="eastAsia" w:ascii="仿宋" w:hAnsi="仿宋" w:eastAsia="仿宋" w:cs="仿宋"/>
          <w:color w:val="auto"/>
          <w:sz w:val="24"/>
        </w:rPr>
        <w:t>在本章第3.3款规定的投标有效期内，招标人以书面形式向中标人发出中标通知书，同时将中标结果通知未中标的投标人。</w:t>
      </w:r>
    </w:p>
    <w:p>
      <w:pPr>
        <w:tabs>
          <w:tab w:val="left" w:pos="7920"/>
        </w:tabs>
        <w:spacing w:line="420" w:lineRule="exact"/>
        <w:ind w:right="15" w:rightChars="7" w:firstLine="240" w:firstLineChars="100"/>
        <w:rPr>
          <w:rFonts w:ascii="仿宋" w:hAnsi="仿宋" w:eastAsia="仿宋" w:cs="仿宋"/>
          <w:color w:val="auto"/>
          <w:sz w:val="24"/>
        </w:rPr>
      </w:pPr>
      <w:r>
        <w:rPr>
          <w:rFonts w:hint="eastAsia" w:ascii="仿宋" w:hAnsi="仿宋" w:eastAsia="仿宋" w:cs="仿宋"/>
          <w:color w:val="auto"/>
          <w:sz w:val="24"/>
        </w:rPr>
        <w:t>“中标通知书”是合同文件的组成部分，中标人在收到中标通知书24小时内，应当以书面确认。</w:t>
      </w:r>
    </w:p>
    <w:p>
      <w:pPr>
        <w:tabs>
          <w:tab w:val="left" w:pos="7920"/>
        </w:tabs>
        <w:spacing w:line="420" w:lineRule="exact"/>
        <w:ind w:right="15" w:rightChars="7"/>
        <w:rPr>
          <w:rFonts w:ascii="仿宋" w:hAnsi="仿宋" w:eastAsia="仿宋" w:cs="仿宋"/>
          <w:b/>
          <w:color w:val="auto"/>
          <w:sz w:val="24"/>
        </w:rPr>
      </w:pPr>
      <w:bookmarkStart w:id="51" w:name="_Toc193115733"/>
      <w:bookmarkStart w:id="52" w:name="_Toc235592932"/>
      <w:r>
        <w:rPr>
          <w:rFonts w:hint="eastAsia" w:ascii="仿宋" w:hAnsi="仿宋" w:eastAsia="仿宋" w:cs="仿宋"/>
          <w:b/>
          <w:color w:val="auto"/>
          <w:sz w:val="24"/>
        </w:rPr>
        <w:t>7.3签订合同</w:t>
      </w:r>
      <w:bookmarkEnd w:id="51"/>
      <w:bookmarkEnd w:id="52"/>
    </w:p>
    <w:p>
      <w:pPr>
        <w:tabs>
          <w:tab w:val="left" w:pos="7920"/>
        </w:tabs>
        <w:spacing w:line="420" w:lineRule="exact"/>
        <w:ind w:right="15" w:rightChars="7" w:firstLine="480" w:firstLineChars="200"/>
        <w:rPr>
          <w:rFonts w:ascii="仿宋" w:hAnsi="仿宋" w:eastAsia="仿宋" w:cs="仿宋"/>
          <w:color w:val="auto"/>
          <w:sz w:val="24"/>
        </w:rPr>
      </w:pPr>
      <w:r>
        <w:rPr>
          <w:rFonts w:hint="eastAsia" w:ascii="仿宋" w:hAnsi="仿宋" w:eastAsia="仿宋" w:cs="仿宋"/>
          <w:color w:val="auto"/>
          <w:sz w:val="24"/>
        </w:rPr>
        <w:t>7.3.1招标人和中标人应当自中标通知书发出之日起7天内，根据招标文件和中标人的投标文件订立书面合同。中标人无正当理由拒签合同的，招标人取消其中标资格。</w:t>
      </w:r>
    </w:p>
    <w:p>
      <w:pPr>
        <w:tabs>
          <w:tab w:val="left" w:pos="7920"/>
        </w:tabs>
        <w:spacing w:line="420" w:lineRule="exact"/>
        <w:ind w:right="15" w:rightChars="7" w:firstLine="480" w:firstLineChars="200"/>
        <w:rPr>
          <w:rFonts w:ascii="仿宋" w:hAnsi="仿宋" w:eastAsia="仿宋" w:cs="仿宋"/>
          <w:color w:val="auto"/>
          <w:sz w:val="24"/>
        </w:rPr>
      </w:pPr>
      <w:r>
        <w:rPr>
          <w:rFonts w:hint="eastAsia" w:ascii="仿宋" w:hAnsi="仿宋" w:eastAsia="仿宋" w:cs="仿宋"/>
          <w:color w:val="auto"/>
          <w:sz w:val="24"/>
        </w:rPr>
        <w:t>7.3.2发出中标通知书后，招标人无正当理由拒签合同的，给中标人造成损失的，还应当赔偿损失。</w:t>
      </w:r>
    </w:p>
    <w:p>
      <w:pPr>
        <w:tabs>
          <w:tab w:val="left" w:pos="7920"/>
        </w:tabs>
        <w:spacing w:line="420" w:lineRule="exact"/>
        <w:ind w:right="15" w:rightChars="7" w:firstLine="480" w:firstLineChars="200"/>
        <w:rPr>
          <w:rFonts w:ascii="仿宋" w:hAnsi="仿宋" w:eastAsia="仿宋" w:cs="仿宋"/>
          <w:color w:val="auto"/>
          <w:sz w:val="24"/>
        </w:rPr>
      </w:pPr>
      <w:r>
        <w:rPr>
          <w:rFonts w:hint="eastAsia" w:ascii="仿宋" w:hAnsi="仿宋" w:eastAsia="仿宋" w:cs="仿宋"/>
          <w:color w:val="auto"/>
          <w:sz w:val="24"/>
        </w:rPr>
        <w:t xml:space="preserve">7.3.3 中标人与招标人在签订租赁合同或合作协议阶段，本公告内涉及的租赁商务条件与物业经营条件不可变更外，中标人可根据实际情况对合同和协议中的权责部分进行微调。   </w:t>
      </w:r>
    </w:p>
    <w:p>
      <w:pPr>
        <w:pStyle w:val="2"/>
        <w:numPr>
          <w:ilvl w:val="1"/>
          <w:numId w:val="0"/>
        </w:numPr>
        <w:spacing w:line="420" w:lineRule="exact"/>
        <w:jc w:val="center"/>
        <w:rPr>
          <w:rFonts w:ascii="仿宋" w:hAnsi="仿宋" w:eastAsia="仿宋" w:cs="仿宋"/>
          <w:color w:val="auto"/>
          <w:w w:val="100"/>
          <w:kern w:val="32"/>
          <w:sz w:val="24"/>
          <w:szCs w:val="24"/>
        </w:rPr>
      </w:pPr>
      <w:bookmarkStart w:id="53" w:name="_Toc193115734"/>
      <w:bookmarkStart w:id="54" w:name="_Toc421114366"/>
      <w:bookmarkStart w:id="55" w:name="_Toc235592933"/>
      <w:r>
        <w:rPr>
          <w:rFonts w:hint="eastAsia" w:ascii="仿宋" w:hAnsi="仿宋" w:eastAsia="仿宋" w:cs="仿宋"/>
          <w:color w:val="auto"/>
          <w:w w:val="100"/>
          <w:kern w:val="32"/>
          <w:sz w:val="24"/>
          <w:szCs w:val="24"/>
        </w:rPr>
        <w:t>8重新招标和不再招标</w:t>
      </w:r>
      <w:bookmarkEnd w:id="53"/>
      <w:bookmarkEnd w:id="54"/>
      <w:bookmarkEnd w:id="55"/>
    </w:p>
    <w:p>
      <w:pPr>
        <w:tabs>
          <w:tab w:val="left" w:pos="7920"/>
        </w:tabs>
        <w:spacing w:line="420" w:lineRule="exact"/>
        <w:ind w:right="15" w:rightChars="7"/>
        <w:rPr>
          <w:rFonts w:ascii="仿宋" w:hAnsi="仿宋" w:eastAsia="仿宋" w:cs="仿宋"/>
          <w:b/>
          <w:color w:val="auto"/>
          <w:sz w:val="24"/>
        </w:rPr>
      </w:pPr>
      <w:bookmarkStart w:id="56" w:name="_Toc193115735"/>
      <w:bookmarkStart w:id="57" w:name="_Toc235592934"/>
      <w:r>
        <w:rPr>
          <w:rFonts w:hint="eastAsia" w:ascii="仿宋" w:hAnsi="仿宋" w:eastAsia="仿宋" w:cs="仿宋"/>
          <w:b/>
          <w:color w:val="auto"/>
          <w:sz w:val="24"/>
        </w:rPr>
        <w:t>8.1重新招标</w:t>
      </w:r>
      <w:bookmarkEnd w:id="56"/>
      <w:bookmarkEnd w:id="57"/>
    </w:p>
    <w:p>
      <w:pPr>
        <w:tabs>
          <w:tab w:val="left" w:pos="7920"/>
        </w:tabs>
        <w:spacing w:line="420" w:lineRule="exact"/>
        <w:ind w:right="15" w:rightChars="7" w:firstLine="480" w:firstLineChars="200"/>
        <w:rPr>
          <w:rFonts w:ascii="仿宋" w:hAnsi="仿宋" w:eastAsia="仿宋" w:cs="仿宋"/>
          <w:color w:val="auto"/>
          <w:sz w:val="24"/>
        </w:rPr>
      </w:pPr>
      <w:r>
        <w:rPr>
          <w:rFonts w:hint="eastAsia" w:ascii="仿宋" w:hAnsi="仿宋" w:eastAsia="仿宋" w:cs="仿宋"/>
          <w:color w:val="auto"/>
          <w:sz w:val="24"/>
        </w:rPr>
        <w:t>有下列情形之一的，招标人将重新招标：</w:t>
      </w:r>
    </w:p>
    <w:p>
      <w:pPr>
        <w:tabs>
          <w:tab w:val="left" w:pos="7920"/>
        </w:tabs>
        <w:spacing w:line="420" w:lineRule="exact"/>
        <w:ind w:right="15" w:rightChars="7" w:firstLine="360" w:firstLineChars="150"/>
        <w:rPr>
          <w:rFonts w:ascii="仿宋" w:hAnsi="仿宋" w:eastAsia="仿宋" w:cs="仿宋"/>
          <w:color w:val="auto"/>
          <w:sz w:val="24"/>
        </w:rPr>
      </w:pPr>
      <w:r>
        <w:rPr>
          <w:rFonts w:hint="eastAsia" w:ascii="仿宋" w:hAnsi="仿宋" w:eastAsia="仿宋" w:cs="仿宋"/>
          <w:color w:val="auto"/>
          <w:sz w:val="24"/>
        </w:rPr>
        <w:t>（1）投标截止时间止，投标人少于3个的；</w:t>
      </w:r>
    </w:p>
    <w:p>
      <w:pPr>
        <w:tabs>
          <w:tab w:val="left" w:pos="7920"/>
        </w:tabs>
        <w:spacing w:line="420" w:lineRule="exact"/>
        <w:ind w:right="15" w:rightChars="7" w:firstLine="360" w:firstLineChars="150"/>
        <w:rPr>
          <w:rFonts w:ascii="仿宋" w:hAnsi="仿宋" w:eastAsia="仿宋" w:cs="仿宋"/>
          <w:color w:val="auto"/>
          <w:sz w:val="24"/>
        </w:rPr>
      </w:pPr>
      <w:r>
        <w:rPr>
          <w:rFonts w:hint="eastAsia" w:ascii="仿宋" w:hAnsi="仿宋" w:eastAsia="仿宋" w:cs="仿宋"/>
          <w:color w:val="auto"/>
          <w:sz w:val="24"/>
        </w:rPr>
        <w:t>（2）经评标小组评审后否决所有投标的。</w:t>
      </w:r>
    </w:p>
    <w:p>
      <w:pPr>
        <w:tabs>
          <w:tab w:val="left" w:pos="7920"/>
        </w:tabs>
        <w:spacing w:line="420" w:lineRule="exact"/>
        <w:ind w:right="15" w:rightChars="7"/>
        <w:rPr>
          <w:rFonts w:ascii="仿宋" w:hAnsi="仿宋" w:eastAsia="仿宋" w:cs="仿宋"/>
          <w:b/>
          <w:color w:val="auto"/>
          <w:sz w:val="24"/>
        </w:rPr>
      </w:pPr>
      <w:bookmarkStart w:id="58" w:name="_Toc235592935"/>
      <w:bookmarkStart w:id="59" w:name="_Toc193115736"/>
      <w:r>
        <w:rPr>
          <w:rFonts w:hint="eastAsia" w:ascii="仿宋" w:hAnsi="仿宋" w:eastAsia="仿宋" w:cs="仿宋"/>
          <w:b/>
          <w:color w:val="auto"/>
          <w:sz w:val="24"/>
        </w:rPr>
        <w:t>8.2不再招标</w:t>
      </w:r>
      <w:bookmarkEnd w:id="58"/>
      <w:bookmarkEnd w:id="59"/>
    </w:p>
    <w:p>
      <w:pPr>
        <w:tabs>
          <w:tab w:val="left" w:pos="7920"/>
        </w:tabs>
        <w:spacing w:line="420" w:lineRule="exact"/>
        <w:ind w:right="15" w:rightChars="7" w:firstLine="480" w:firstLineChars="200"/>
        <w:rPr>
          <w:rFonts w:ascii="仿宋" w:hAnsi="仿宋" w:eastAsia="仿宋" w:cs="仿宋"/>
          <w:color w:val="auto"/>
          <w:sz w:val="24"/>
        </w:rPr>
      </w:pPr>
      <w:r>
        <w:rPr>
          <w:rFonts w:hint="eastAsia" w:ascii="仿宋" w:hAnsi="仿宋" w:eastAsia="仿宋" w:cs="仿宋"/>
          <w:color w:val="auto"/>
          <w:sz w:val="24"/>
        </w:rPr>
        <w:t>重新招标后投标人仍少于3个或者所有投标被否决的，属于必须审批或核准的项目，经原审批或核准部门批准后不再进行招标。</w:t>
      </w:r>
    </w:p>
    <w:p>
      <w:pPr>
        <w:pStyle w:val="2"/>
        <w:numPr>
          <w:ilvl w:val="1"/>
          <w:numId w:val="0"/>
        </w:numPr>
        <w:spacing w:line="420" w:lineRule="exact"/>
        <w:jc w:val="center"/>
        <w:rPr>
          <w:rFonts w:ascii="仿宋" w:hAnsi="仿宋" w:eastAsia="仿宋" w:cs="仿宋"/>
          <w:color w:val="auto"/>
          <w:w w:val="100"/>
          <w:kern w:val="32"/>
          <w:sz w:val="24"/>
          <w:szCs w:val="24"/>
        </w:rPr>
      </w:pPr>
      <w:bookmarkStart w:id="60" w:name="_Toc193115737"/>
      <w:bookmarkStart w:id="61" w:name="_Toc235592936"/>
      <w:bookmarkStart w:id="62" w:name="_Toc421114367"/>
      <w:r>
        <w:rPr>
          <w:rFonts w:hint="eastAsia" w:ascii="仿宋" w:hAnsi="仿宋" w:eastAsia="仿宋" w:cs="仿宋"/>
          <w:color w:val="auto"/>
          <w:w w:val="100"/>
          <w:kern w:val="32"/>
          <w:sz w:val="24"/>
          <w:szCs w:val="24"/>
        </w:rPr>
        <w:t>9纪律</w:t>
      </w:r>
      <w:bookmarkStart w:id="63" w:name="_Hlt226599220"/>
      <w:bookmarkEnd w:id="63"/>
      <w:r>
        <w:rPr>
          <w:rFonts w:hint="eastAsia" w:ascii="仿宋" w:hAnsi="仿宋" w:eastAsia="仿宋" w:cs="仿宋"/>
          <w:color w:val="auto"/>
          <w:w w:val="100"/>
          <w:kern w:val="32"/>
          <w:sz w:val="24"/>
          <w:szCs w:val="24"/>
        </w:rPr>
        <w:t>和监督</w:t>
      </w:r>
      <w:bookmarkEnd w:id="60"/>
      <w:bookmarkEnd w:id="61"/>
      <w:bookmarkEnd w:id="62"/>
    </w:p>
    <w:p>
      <w:pPr>
        <w:tabs>
          <w:tab w:val="left" w:pos="7920"/>
        </w:tabs>
        <w:spacing w:line="420" w:lineRule="exact"/>
        <w:ind w:right="15" w:rightChars="7"/>
        <w:rPr>
          <w:rFonts w:ascii="仿宋" w:hAnsi="仿宋" w:eastAsia="仿宋" w:cs="仿宋"/>
          <w:b/>
          <w:color w:val="auto"/>
          <w:sz w:val="24"/>
        </w:rPr>
      </w:pPr>
      <w:bookmarkStart w:id="64" w:name="_Toc235592937"/>
      <w:bookmarkStart w:id="65" w:name="_Toc193115738"/>
      <w:r>
        <w:rPr>
          <w:rFonts w:hint="eastAsia" w:ascii="仿宋" w:hAnsi="仿宋" w:eastAsia="仿宋" w:cs="仿宋"/>
          <w:b/>
          <w:color w:val="auto"/>
          <w:sz w:val="24"/>
        </w:rPr>
        <w:t>9.1对招标人的纪律要求</w:t>
      </w:r>
      <w:bookmarkEnd w:id="64"/>
      <w:bookmarkEnd w:id="65"/>
    </w:p>
    <w:p>
      <w:pPr>
        <w:tabs>
          <w:tab w:val="left" w:pos="7920"/>
        </w:tabs>
        <w:spacing w:line="420" w:lineRule="exact"/>
        <w:ind w:right="15" w:rightChars="7" w:firstLine="480" w:firstLineChars="200"/>
        <w:rPr>
          <w:rFonts w:ascii="仿宋" w:hAnsi="仿宋" w:eastAsia="仿宋" w:cs="仿宋"/>
          <w:color w:val="auto"/>
          <w:sz w:val="24"/>
        </w:rPr>
      </w:pPr>
      <w:r>
        <w:rPr>
          <w:rFonts w:hint="eastAsia" w:ascii="仿宋" w:hAnsi="仿宋" w:eastAsia="仿宋" w:cs="仿宋"/>
          <w:color w:val="auto"/>
          <w:sz w:val="24"/>
        </w:rPr>
        <w:t>招标人不得泄漏招标投标活动中应当保密的情况和资料，不得与投标人串通损害国家利益、社会公共利益或者他人合法权益。</w:t>
      </w:r>
    </w:p>
    <w:p>
      <w:pPr>
        <w:tabs>
          <w:tab w:val="left" w:pos="7920"/>
        </w:tabs>
        <w:spacing w:line="420" w:lineRule="exact"/>
        <w:ind w:right="15" w:rightChars="7"/>
        <w:rPr>
          <w:rFonts w:ascii="仿宋" w:hAnsi="仿宋" w:eastAsia="仿宋" w:cs="仿宋"/>
          <w:b/>
          <w:color w:val="auto"/>
          <w:sz w:val="24"/>
        </w:rPr>
      </w:pPr>
      <w:bookmarkStart w:id="66" w:name="_Toc193115739"/>
      <w:bookmarkStart w:id="67" w:name="_Toc235592938"/>
      <w:r>
        <w:rPr>
          <w:rFonts w:hint="eastAsia" w:ascii="仿宋" w:hAnsi="仿宋" w:eastAsia="仿宋" w:cs="仿宋"/>
          <w:b/>
          <w:color w:val="auto"/>
          <w:sz w:val="24"/>
        </w:rPr>
        <w:t>9.2对投标人的纪律要求</w:t>
      </w:r>
      <w:bookmarkEnd w:id="66"/>
      <w:bookmarkEnd w:id="67"/>
    </w:p>
    <w:p>
      <w:pPr>
        <w:tabs>
          <w:tab w:val="left" w:pos="7920"/>
        </w:tabs>
        <w:spacing w:line="420" w:lineRule="exact"/>
        <w:ind w:right="15" w:rightChars="7" w:firstLine="480" w:firstLineChars="200"/>
        <w:rPr>
          <w:rFonts w:ascii="仿宋" w:hAnsi="仿宋" w:eastAsia="仿宋" w:cs="仿宋"/>
          <w:color w:val="auto"/>
          <w:sz w:val="24"/>
        </w:rPr>
      </w:pPr>
      <w:r>
        <w:rPr>
          <w:rFonts w:hint="eastAsia" w:ascii="仿宋" w:hAnsi="仿宋" w:eastAsia="仿宋" w:cs="仿宋"/>
          <w:color w:val="auto"/>
          <w:sz w:val="24"/>
        </w:rPr>
        <w:t>投标人不得相互串通投标或者与招标人串通投标，不得向招标人或者评标小组成员行贿谋取中标，不得以他人名义投标或者以其他方式弄虚作假骗取中标；投标人不得以任何方式干扰、影响评标工作。</w:t>
      </w:r>
    </w:p>
    <w:p>
      <w:pPr>
        <w:tabs>
          <w:tab w:val="left" w:pos="7920"/>
        </w:tabs>
        <w:spacing w:line="420" w:lineRule="exact"/>
        <w:ind w:right="15" w:rightChars="7"/>
        <w:rPr>
          <w:rFonts w:ascii="仿宋" w:hAnsi="仿宋" w:eastAsia="仿宋" w:cs="仿宋"/>
          <w:b/>
          <w:color w:val="auto"/>
          <w:sz w:val="24"/>
        </w:rPr>
      </w:pPr>
      <w:bookmarkStart w:id="68" w:name="_Toc193115740"/>
      <w:bookmarkStart w:id="69" w:name="_Toc235592939"/>
      <w:r>
        <w:rPr>
          <w:rFonts w:hint="eastAsia" w:ascii="仿宋" w:hAnsi="仿宋" w:eastAsia="仿宋" w:cs="仿宋"/>
          <w:b/>
          <w:color w:val="auto"/>
          <w:sz w:val="24"/>
        </w:rPr>
        <w:t>9.3对评标小组成员的纪律要求</w:t>
      </w:r>
      <w:bookmarkEnd w:id="68"/>
      <w:bookmarkEnd w:id="69"/>
    </w:p>
    <w:p>
      <w:pPr>
        <w:tabs>
          <w:tab w:val="left" w:pos="7920"/>
        </w:tabs>
        <w:spacing w:line="420" w:lineRule="exact"/>
        <w:ind w:right="15" w:rightChars="7" w:firstLine="480" w:firstLineChars="200"/>
        <w:rPr>
          <w:rFonts w:ascii="仿宋" w:hAnsi="仿宋" w:eastAsia="仿宋" w:cs="仿宋"/>
          <w:color w:val="auto"/>
          <w:sz w:val="24"/>
        </w:rPr>
      </w:pPr>
      <w:r>
        <w:rPr>
          <w:rFonts w:hint="eastAsia" w:ascii="仿宋" w:hAnsi="仿宋" w:eastAsia="仿宋" w:cs="仿宋"/>
          <w:color w:val="auto"/>
          <w:sz w:val="24"/>
        </w:rPr>
        <w:t>评标小组成员不得收受他人的财物或者其他好处，不得向他人透漏对投标文件的评审和比较、中标候选人的推荐情况以及评标有关的其他情况。在评标活动中，评标小组成员不得擅离职守，影响评标程序正常进行，不得使用第六章“评标办法”没有规定的评审因素和标准进行评标。</w:t>
      </w:r>
    </w:p>
    <w:p>
      <w:pPr>
        <w:tabs>
          <w:tab w:val="left" w:pos="7920"/>
        </w:tabs>
        <w:spacing w:line="420" w:lineRule="exact"/>
        <w:ind w:right="15" w:rightChars="7"/>
        <w:rPr>
          <w:rFonts w:ascii="仿宋" w:hAnsi="仿宋" w:eastAsia="仿宋" w:cs="仿宋"/>
          <w:b/>
          <w:color w:val="auto"/>
          <w:sz w:val="24"/>
        </w:rPr>
      </w:pPr>
      <w:bookmarkStart w:id="70" w:name="_Toc193115741"/>
      <w:bookmarkStart w:id="71" w:name="_Toc235592940"/>
      <w:r>
        <w:rPr>
          <w:rFonts w:hint="eastAsia" w:ascii="仿宋" w:hAnsi="仿宋" w:eastAsia="仿宋" w:cs="仿宋"/>
          <w:b/>
          <w:color w:val="auto"/>
          <w:sz w:val="24"/>
        </w:rPr>
        <w:t>9.4对与评标活动有关的工作人员的纪律要求</w:t>
      </w:r>
      <w:bookmarkEnd w:id="70"/>
      <w:bookmarkEnd w:id="71"/>
    </w:p>
    <w:p>
      <w:pPr>
        <w:tabs>
          <w:tab w:val="left" w:pos="7920"/>
        </w:tabs>
        <w:spacing w:line="420" w:lineRule="exact"/>
        <w:ind w:right="15" w:rightChars="7" w:firstLine="480" w:firstLineChars="200"/>
        <w:rPr>
          <w:rFonts w:ascii="仿宋" w:hAnsi="仿宋" w:eastAsia="仿宋" w:cs="仿宋"/>
          <w:color w:val="auto"/>
          <w:sz w:val="24"/>
        </w:rPr>
      </w:pPr>
      <w:r>
        <w:rPr>
          <w:rFonts w:hint="eastAsia" w:ascii="仿宋" w:hAnsi="仿宋" w:eastAsia="仿宋" w:cs="仿宋"/>
          <w:color w:val="auto"/>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tabs>
          <w:tab w:val="left" w:pos="7920"/>
        </w:tabs>
        <w:spacing w:line="420" w:lineRule="exact"/>
        <w:ind w:right="15" w:rightChars="7"/>
        <w:rPr>
          <w:rFonts w:ascii="仿宋" w:hAnsi="仿宋" w:eastAsia="仿宋" w:cs="仿宋"/>
          <w:b/>
          <w:color w:val="auto"/>
          <w:sz w:val="24"/>
        </w:rPr>
      </w:pPr>
      <w:bookmarkStart w:id="72" w:name="_Toc235592941"/>
      <w:bookmarkStart w:id="73" w:name="_Toc193115742"/>
      <w:r>
        <w:rPr>
          <w:rFonts w:hint="eastAsia" w:ascii="仿宋" w:hAnsi="仿宋" w:eastAsia="仿宋" w:cs="仿宋"/>
          <w:b/>
          <w:color w:val="auto"/>
          <w:sz w:val="24"/>
        </w:rPr>
        <w:t>9.5投诉</w:t>
      </w:r>
      <w:bookmarkEnd w:id="72"/>
      <w:bookmarkEnd w:id="73"/>
      <w:bookmarkStart w:id="74" w:name="_Hlt226599222"/>
      <w:bookmarkEnd w:id="74"/>
    </w:p>
    <w:p>
      <w:pPr>
        <w:tabs>
          <w:tab w:val="left" w:pos="7920"/>
        </w:tabs>
        <w:spacing w:line="420" w:lineRule="exact"/>
        <w:ind w:right="15" w:rightChars="7" w:firstLine="480" w:firstLineChars="200"/>
        <w:rPr>
          <w:rFonts w:ascii="仿宋" w:hAnsi="仿宋" w:eastAsia="仿宋" w:cs="仿宋"/>
          <w:color w:val="auto"/>
          <w:sz w:val="24"/>
        </w:rPr>
      </w:pPr>
      <w:r>
        <w:rPr>
          <w:rFonts w:hint="eastAsia" w:ascii="仿宋" w:hAnsi="仿宋" w:eastAsia="仿宋" w:cs="仿宋"/>
          <w:color w:val="auto"/>
          <w:sz w:val="24"/>
        </w:rPr>
        <w:t>投标人和其他利害关系人认为本次招标活动违反法律、法规和规章规定的，有权向有关行政监督部门投诉。</w:t>
      </w:r>
    </w:p>
    <w:p>
      <w:pPr>
        <w:pStyle w:val="2"/>
        <w:numPr>
          <w:ilvl w:val="1"/>
          <w:numId w:val="0"/>
        </w:numPr>
        <w:spacing w:line="420" w:lineRule="exact"/>
        <w:jc w:val="center"/>
        <w:rPr>
          <w:rFonts w:ascii="仿宋" w:hAnsi="仿宋" w:eastAsia="仿宋" w:cs="仿宋"/>
          <w:color w:val="auto"/>
          <w:w w:val="100"/>
          <w:kern w:val="32"/>
          <w:sz w:val="24"/>
          <w:szCs w:val="24"/>
        </w:rPr>
      </w:pPr>
      <w:bookmarkStart w:id="75" w:name="_Toc235592942"/>
      <w:bookmarkStart w:id="76" w:name="_Toc421114368"/>
      <w:bookmarkStart w:id="77" w:name="_Toc193115743"/>
      <w:r>
        <w:rPr>
          <w:rFonts w:hint="eastAsia" w:ascii="仿宋" w:hAnsi="仿宋" w:eastAsia="仿宋" w:cs="仿宋"/>
          <w:color w:val="auto"/>
          <w:w w:val="100"/>
          <w:kern w:val="32"/>
          <w:sz w:val="24"/>
          <w:szCs w:val="24"/>
        </w:rPr>
        <w:t>10需要补充的其他内容</w:t>
      </w:r>
      <w:bookmarkEnd w:id="75"/>
      <w:bookmarkEnd w:id="76"/>
      <w:bookmarkEnd w:id="77"/>
    </w:p>
    <w:p>
      <w:pPr>
        <w:tabs>
          <w:tab w:val="left" w:pos="7920"/>
        </w:tabs>
        <w:spacing w:line="420" w:lineRule="exact"/>
        <w:ind w:right="15" w:rightChars="7" w:firstLine="482" w:firstLineChars="200"/>
        <w:rPr>
          <w:rFonts w:ascii="仿宋" w:hAnsi="仿宋" w:eastAsia="仿宋" w:cs="仿宋"/>
          <w:b/>
          <w:color w:val="auto"/>
          <w:sz w:val="24"/>
        </w:rPr>
      </w:pPr>
      <w:r>
        <w:rPr>
          <w:rFonts w:hint="eastAsia" w:ascii="仿宋" w:hAnsi="仿宋" w:eastAsia="仿宋" w:cs="仿宋"/>
          <w:b/>
          <w:color w:val="auto"/>
          <w:sz w:val="24"/>
        </w:rPr>
        <w:t>10.1投标人在投标文件中有隐瞒事实、弄虚作假的行为，或有不按招标文件的要求如实提供有关情况、文件、证明等资料的行为，或有所提供的有关情况、文件、证明等资料与经查实的事实不符的行为，且上述行为对该投标人有利的，按照不合格投标人处理。已被列为中标候选人的，取消其中标候选人资格。已中标的，依据有关法律法规规章的规定处理。</w:t>
      </w:r>
    </w:p>
    <w:p>
      <w:pPr>
        <w:spacing w:line="400" w:lineRule="exact"/>
        <w:ind w:left="626" w:leftChars="229" w:hanging="145" w:hangingChars="97"/>
        <w:rPr>
          <w:rFonts w:ascii="宋体" w:hAnsi="宋体" w:eastAsia="宋体" w:cs="宋体"/>
          <w:color w:val="auto"/>
          <w:sz w:val="15"/>
          <w:szCs w:val="15"/>
        </w:rPr>
      </w:pPr>
    </w:p>
    <w:p>
      <w:pPr>
        <w:pStyle w:val="3"/>
        <w:numPr>
          <w:ilvl w:val="255"/>
          <w:numId w:val="0"/>
        </w:numPr>
        <w:spacing w:line="480" w:lineRule="exact"/>
        <w:ind w:left="0" w:leftChars="0" w:firstLine="1325" w:firstLineChars="300"/>
        <w:jc w:val="both"/>
        <w:rPr>
          <w:rFonts w:asciiTheme="majorEastAsia" w:hAnsiTheme="majorEastAsia" w:eastAsiaTheme="majorEastAsia" w:cstheme="majorEastAsia"/>
          <w:color w:val="auto"/>
        </w:rPr>
      </w:pPr>
      <w:bookmarkStart w:id="78" w:name="_Toc12625_WPSOffice_Level1"/>
      <w:bookmarkStart w:id="79" w:name="_Toc3212_WPSOffice_Level1"/>
      <w:bookmarkStart w:id="80" w:name="_Toc6580_WPSOffice_Level1"/>
      <w:r>
        <w:rPr>
          <w:rFonts w:hint="eastAsia" w:asciiTheme="majorEastAsia" w:hAnsiTheme="majorEastAsia" w:eastAsiaTheme="majorEastAsia" w:cstheme="majorEastAsia"/>
          <w:color w:val="auto"/>
        </w:rPr>
        <w:t>第三章 项目情况说明及要求</w:t>
      </w:r>
    </w:p>
    <w:p>
      <w:pPr>
        <w:pStyle w:val="3"/>
        <w:numPr>
          <w:ilvl w:val="255"/>
          <w:numId w:val="0"/>
        </w:numPr>
        <w:spacing w:line="480" w:lineRule="exact"/>
        <w:ind w:firstLine="1325" w:firstLineChars="300"/>
        <w:jc w:val="both"/>
        <w:rPr>
          <w:rFonts w:hint="eastAsia" w:asciiTheme="majorEastAsia" w:hAnsiTheme="majorEastAsia" w:eastAsiaTheme="majorEastAsia" w:cstheme="majorEastAsia"/>
          <w:color w:val="auto"/>
        </w:rPr>
      </w:pPr>
    </w:p>
    <w:p>
      <w:pPr>
        <w:pStyle w:val="3"/>
        <w:numPr>
          <w:ilvl w:val="255"/>
          <w:numId w:val="0"/>
        </w:numPr>
        <w:spacing w:line="480" w:lineRule="exact"/>
        <w:ind w:left="0" w:leftChars="0" w:firstLine="0" w:firstLineChars="0"/>
        <w:jc w:val="both"/>
        <w:rPr>
          <w:rFonts w:hint="eastAsia" w:asciiTheme="majorEastAsia" w:hAnsiTheme="majorEastAsia" w:eastAsiaTheme="majorEastAsia" w:cstheme="majorEastAsia"/>
          <w:color w:val="auto"/>
        </w:rPr>
      </w:pPr>
    </w:p>
    <w:bookmarkEnd w:id="78"/>
    <w:bookmarkEnd w:id="79"/>
    <w:bookmarkEnd w:id="80"/>
    <w:p>
      <w:pPr>
        <w:pStyle w:val="3"/>
        <w:widowControl/>
        <w:numPr>
          <w:ilvl w:val="255"/>
          <w:numId w:val="0"/>
        </w:numPr>
        <w:spacing w:line="480" w:lineRule="exact"/>
        <w:ind w:left="0" w:leftChars="0" w:firstLine="0" w:firstLineChars="0"/>
        <w:jc w:val="both"/>
        <w:rPr>
          <w:rFonts w:hint="eastAsia" w:ascii="仿宋" w:hAnsi="仿宋" w:eastAsia="仿宋" w:cs="仿宋"/>
          <w:b/>
          <w:color w:val="auto"/>
          <w:sz w:val="24"/>
        </w:rPr>
      </w:pPr>
      <w:bookmarkStart w:id="81" w:name="_Toc5441"/>
      <w:bookmarkStart w:id="82" w:name="_Toc25671"/>
      <w:bookmarkStart w:id="83" w:name="_Toc3668"/>
      <w:bookmarkStart w:id="84" w:name="_Toc28220"/>
      <w:bookmarkStart w:id="85" w:name="_Toc23042"/>
      <w:r>
        <w:rPr>
          <w:rFonts w:hint="eastAsia" w:ascii="仿宋" w:hAnsi="仿宋" w:eastAsia="仿宋" w:cs="仿宋"/>
          <w:b/>
          <w:color w:val="auto"/>
          <w:sz w:val="24"/>
        </w:rPr>
        <w:t>一、项目</w:t>
      </w:r>
      <w:bookmarkEnd w:id="81"/>
      <w:bookmarkEnd w:id="82"/>
      <w:bookmarkEnd w:id="83"/>
      <w:bookmarkEnd w:id="84"/>
      <w:bookmarkEnd w:id="85"/>
      <w:r>
        <w:rPr>
          <w:rFonts w:hint="eastAsia" w:ascii="仿宋" w:hAnsi="仿宋" w:eastAsia="仿宋" w:cs="仿宋"/>
          <w:b/>
          <w:color w:val="auto"/>
          <w:sz w:val="24"/>
        </w:rPr>
        <w:t>所在地</w:t>
      </w:r>
    </w:p>
    <w:p>
      <w:pPr>
        <w:pStyle w:val="3"/>
        <w:widowControl/>
        <w:numPr>
          <w:ilvl w:val="255"/>
          <w:numId w:val="0"/>
        </w:numPr>
        <w:spacing w:line="480" w:lineRule="exact"/>
        <w:ind w:firstLine="480" w:firstLineChars="200"/>
        <w:jc w:val="both"/>
        <w:rPr>
          <w:rFonts w:hint="eastAsia" w:ascii="仿宋" w:hAnsi="仿宋" w:eastAsia="仿宋" w:cs="仿宋"/>
          <w:b w:val="0"/>
          <w:bCs w:val="0"/>
          <w:color w:val="auto"/>
          <w:w w:val="100"/>
          <w:kern w:val="2"/>
          <w:sz w:val="24"/>
          <w:szCs w:val="24"/>
        </w:rPr>
      </w:pPr>
      <w:bookmarkStart w:id="86" w:name="_Toc32141"/>
      <w:bookmarkStart w:id="87" w:name="_Toc18509"/>
      <w:bookmarkStart w:id="88" w:name="_Toc3206"/>
      <w:bookmarkStart w:id="89" w:name="_Toc19918"/>
      <w:bookmarkStart w:id="90" w:name="_Toc20656"/>
      <w:r>
        <w:rPr>
          <w:rFonts w:hint="eastAsia" w:ascii="仿宋" w:hAnsi="仿宋" w:eastAsia="仿宋" w:cs="仿宋"/>
          <w:b w:val="0"/>
          <w:bCs w:val="0"/>
          <w:color w:val="auto"/>
          <w:w w:val="100"/>
          <w:kern w:val="2"/>
          <w:sz w:val="24"/>
          <w:szCs w:val="24"/>
        </w:rPr>
        <w:t>康乃馨示范城一栋二楼食堂（以下简称“本项目”）位于</w:t>
      </w:r>
      <w:r>
        <w:rPr>
          <w:rFonts w:hint="eastAsia" w:ascii="仿宋" w:hAnsi="仿宋" w:eastAsia="仿宋" w:cs="仿宋"/>
          <w:color w:val="auto"/>
          <w:sz w:val="24"/>
        </w:rPr>
        <w:t>长沙市望城区</w:t>
      </w:r>
      <w:r>
        <w:rPr>
          <w:rFonts w:hint="eastAsia" w:ascii="仿宋" w:hAnsi="仿宋" w:eastAsia="仿宋" w:cs="仿宋"/>
          <w:color w:val="auto"/>
          <w:sz w:val="24"/>
          <w:lang w:eastAsia="zh-CN"/>
        </w:rPr>
        <w:t>月亮岛街道</w:t>
      </w:r>
      <w:r>
        <w:rPr>
          <w:rFonts w:hint="eastAsia" w:ascii="仿宋" w:hAnsi="仿宋" w:eastAsia="仿宋" w:cs="仿宋"/>
          <w:color w:val="auto"/>
          <w:sz w:val="24"/>
        </w:rPr>
        <w:t>银星路二段599号康乃馨医院大楼一栋二楼食堂</w:t>
      </w:r>
      <w:r>
        <w:rPr>
          <w:rFonts w:hint="eastAsia" w:ascii="仿宋" w:hAnsi="仿宋" w:eastAsia="仿宋" w:cs="仿宋"/>
          <w:b w:val="0"/>
          <w:bCs w:val="0"/>
          <w:color w:val="auto"/>
          <w:w w:val="100"/>
          <w:kern w:val="2"/>
          <w:sz w:val="24"/>
          <w:szCs w:val="24"/>
        </w:rPr>
        <w:t>。</w:t>
      </w:r>
    </w:p>
    <w:p>
      <w:pPr>
        <w:widowControl/>
        <w:ind w:firstLine="482" w:firstLineChars="200"/>
        <w:rPr>
          <w:rFonts w:hint="eastAsia" w:ascii="仿宋" w:hAnsi="仿宋" w:eastAsia="仿宋" w:cs="仿宋"/>
          <w:b/>
          <w:bCs/>
          <w:color w:val="auto"/>
          <w:w w:val="100"/>
          <w:kern w:val="2"/>
          <w:sz w:val="24"/>
          <w:szCs w:val="24"/>
        </w:rPr>
      </w:pPr>
      <w:r>
        <w:rPr>
          <w:rFonts w:hint="eastAsia" w:ascii="仿宋" w:hAnsi="仿宋" w:eastAsia="仿宋" w:cs="仿宋"/>
          <w:b/>
          <w:bCs/>
          <w:color w:val="auto"/>
          <w:w w:val="100"/>
          <w:kern w:val="2"/>
          <w:sz w:val="24"/>
          <w:szCs w:val="24"/>
        </w:rPr>
        <w:t>二、项目</w:t>
      </w:r>
      <w:bookmarkEnd w:id="86"/>
      <w:bookmarkEnd w:id="87"/>
      <w:bookmarkEnd w:id="88"/>
      <w:bookmarkEnd w:id="89"/>
      <w:bookmarkEnd w:id="90"/>
      <w:r>
        <w:rPr>
          <w:rFonts w:hint="eastAsia" w:ascii="仿宋" w:hAnsi="仿宋" w:eastAsia="仿宋" w:cs="仿宋"/>
          <w:b/>
          <w:bCs/>
          <w:color w:val="auto"/>
          <w:w w:val="100"/>
          <w:kern w:val="2"/>
          <w:sz w:val="24"/>
          <w:szCs w:val="24"/>
        </w:rPr>
        <w:t>内容</w:t>
      </w:r>
    </w:p>
    <w:p>
      <w:pPr>
        <w:widowControl/>
        <w:spacing w:line="240" w:lineRule="auto"/>
        <w:ind w:firstLine="480" w:firstLineChars="200"/>
        <w:rPr>
          <w:rFonts w:ascii="仿宋" w:hAnsi="仿宋" w:eastAsia="仿宋" w:cs="仿宋"/>
          <w:color w:val="auto"/>
          <w:sz w:val="24"/>
        </w:rPr>
      </w:pPr>
      <w:r>
        <w:rPr>
          <w:rFonts w:hint="eastAsia" w:ascii="仿宋" w:hAnsi="仿宋" w:eastAsia="仿宋" w:cs="仿宋"/>
          <w:color w:val="auto"/>
          <w:sz w:val="24"/>
        </w:rPr>
        <w:t>（一）项目概况：</w:t>
      </w:r>
    </w:p>
    <w:p>
      <w:p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1.位于长沙市望城区月亮岛街道银星路康乃馨国际老年生活示范城，康乃馨医院大楼一栋二楼食堂，包含：厨房、餐厅、包厢、现有厨房设备、餐具等；总建筑面积：</w:t>
      </w:r>
      <w:r>
        <w:rPr>
          <w:rFonts w:hint="eastAsia" w:ascii="仿宋" w:hAnsi="仿宋" w:eastAsia="仿宋" w:cs="仿宋"/>
          <w:color w:val="auto"/>
          <w:sz w:val="24"/>
          <w:lang w:eastAsia="zh-CN"/>
        </w:rPr>
        <w:t>约</w:t>
      </w:r>
      <w:r>
        <w:rPr>
          <w:rFonts w:hint="eastAsia" w:ascii="仿宋" w:hAnsi="仿宋" w:eastAsia="仿宋" w:cs="仿宋"/>
          <w:color w:val="auto"/>
          <w:sz w:val="24"/>
        </w:rPr>
        <w:t>1</w:t>
      </w:r>
      <w:r>
        <w:rPr>
          <w:rFonts w:hint="eastAsia" w:ascii="仿宋" w:hAnsi="仿宋" w:eastAsia="仿宋" w:cs="仿宋"/>
          <w:color w:val="auto"/>
          <w:sz w:val="24"/>
          <w:lang w:val="en-US" w:eastAsia="zh-CN"/>
        </w:rPr>
        <w:t>20</w:t>
      </w:r>
      <w:r>
        <w:rPr>
          <w:rFonts w:hint="eastAsia" w:ascii="仿宋" w:hAnsi="仿宋" w:eastAsia="仿宋" w:cs="仿宋"/>
          <w:color w:val="auto"/>
          <w:sz w:val="24"/>
        </w:rPr>
        <w:t>0（m2）</w:t>
      </w:r>
      <w:r>
        <w:rPr>
          <w:rFonts w:hint="eastAsia" w:ascii="仿宋" w:hAnsi="仿宋" w:eastAsia="仿宋" w:cs="仿宋"/>
          <w:color w:val="auto"/>
          <w:sz w:val="24"/>
          <w:lang w:eastAsia="zh-CN"/>
        </w:rPr>
        <w:t>（以实际交付为准）</w:t>
      </w:r>
      <w:r>
        <w:rPr>
          <w:rFonts w:hint="eastAsia" w:ascii="仿宋" w:hAnsi="仿宋" w:eastAsia="仿宋" w:cs="仿宋"/>
          <w:color w:val="auto"/>
          <w:sz w:val="24"/>
        </w:rPr>
        <w:t>。</w:t>
      </w:r>
    </w:p>
    <w:p>
      <w:pPr>
        <w:spacing w:line="42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2.预估用餐人数：长沙康乃馨老年病医院人数约：</w:t>
      </w:r>
      <w:r>
        <w:rPr>
          <w:rFonts w:hint="eastAsia" w:ascii="仿宋" w:hAnsi="仿宋" w:eastAsia="仿宋" w:cs="仿宋"/>
          <w:color w:val="auto"/>
          <w:sz w:val="24"/>
          <w:lang w:val="en-US" w:eastAsia="zh-CN"/>
        </w:rPr>
        <w:t>400</w:t>
      </w:r>
      <w:r>
        <w:rPr>
          <w:rFonts w:hint="eastAsia" w:ascii="仿宋" w:hAnsi="仿宋" w:eastAsia="仿宋" w:cs="仿宋"/>
          <w:color w:val="auto"/>
          <w:sz w:val="24"/>
        </w:rPr>
        <w:t>人，湖南康乃馨养老产业投资置业有限公司人数约60人，家属等外来人员约500人，预估就餐人数仅供参考，不做投标依据。</w:t>
      </w:r>
    </w:p>
    <w:p>
      <w:pPr>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三、招标需求</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（一）基本要求</w:t>
      </w:r>
    </w:p>
    <w:p>
      <w:p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1.满足招标人员用餐需求，尤其需保证医院医患的用餐需求。</w:t>
      </w:r>
    </w:p>
    <w:p>
      <w:pPr>
        <w:spacing w:line="420" w:lineRule="exact"/>
        <w:ind w:firstLine="480"/>
        <w:rPr>
          <w:rFonts w:ascii="仿宋" w:hAnsi="仿宋" w:eastAsia="仿宋" w:cs="仿宋"/>
          <w:color w:val="auto"/>
          <w:sz w:val="24"/>
        </w:rPr>
      </w:pPr>
      <w:r>
        <w:rPr>
          <w:rFonts w:hint="eastAsia" w:ascii="仿宋" w:hAnsi="仿宋" w:eastAsia="仿宋" w:cs="仿宋"/>
          <w:color w:val="auto"/>
          <w:sz w:val="24"/>
        </w:rPr>
        <w:t>（注：招标人对员工及经营区域内的人员用餐仅提供便利，不强制在食堂消费，用餐自由。）</w:t>
      </w:r>
    </w:p>
    <w:p>
      <w:pPr>
        <w:spacing w:line="42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2.用餐时间要求：早餐7:00-9:30；午餐11:30-13:00；晚餐17:00-19:00；中标方需按照规定时间准时开餐，不得无故提前或拖延开餐时间。招标方可根据工作需要，向中标方提出变更就餐时间。</w:t>
      </w:r>
    </w:p>
    <w:p>
      <w:pPr>
        <w:spacing w:line="420" w:lineRule="exact"/>
        <w:ind w:firstLine="480"/>
        <w:rPr>
          <w:rFonts w:ascii="仿宋" w:hAnsi="仿宋" w:eastAsia="仿宋" w:cs="仿宋"/>
          <w:color w:val="auto"/>
          <w:sz w:val="24"/>
        </w:rPr>
      </w:pPr>
      <w:r>
        <w:rPr>
          <w:rFonts w:hint="eastAsia" w:ascii="仿宋" w:hAnsi="仿宋" w:eastAsia="仿宋" w:cs="仿宋"/>
          <w:color w:val="auto"/>
          <w:sz w:val="24"/>
        </w:rPr>
        <w:t>3.中标方不得将餐厅私自转让或委托他人经营，更不能利用招标方资产搞不法经营。一经发现，招标方有权取消其承包资格，并承担违约金责任。</w:t>
      </w:r>
    </w:p>
    <w:p>
      <w:pPr>
        <w:spacing w:line="420" w:lineRule="exact"/>
        <w:rPr>
          <w:rFonts w:ascii="仿宋" w:hAnsi="仿宋" w:eastAsia="仿宋" w:cs="仿宋"/>
          <w:color w:val="auto"/>
          <w:sz w:val="24"/>
        </w:rPr>
      </w:pPr>
      <w:r>
        <w:rPr>
          <w:rFonts w:hint="eastAsia" w:ascii="仿宋" w:hAnsi="仿宋" w:eastAsia="仿宋" w:cs="仿宋"/>
          <w:color w:val="auto"/>
          <w:sz w:val="24"/>
        </w:rPr>
        <w:t>　　4．整个餐饮区域的卫生防疫、就餐环境必须达到市卫生监督所制定的标准，招标方有权监督，并定时检查。所有食品根据卫生防疫要求留样备查。杜绝餐饮卫生安全事故。所有事故由中标方担责，招标方不负连带责任。</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5.中标方负责生产场所的消防安全工作，配置基本消防设施（灭火器、灭火毯等）、服从招标方统一管理，确保消防安全无事故。</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6. 餐具的选用，材质必须保证用消毒柜消毒，达到消毒标准。</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7. 筷子要使用筷子消毒柜存放，就餐区域内不准使用一次性筷子。</w:t>
      </w:r>
    </w:p>
    <w:p>
      <w:pPr>
        <w:pStyle w:val="20"/>
        <w:spacing w:line="420" w:lineRule="exact"/>
        <w:ind w:firstLine="480"/>
        <w:rPr>
          <w:rFonts w:ascii="仿宋" w:hAnsi="仿宋" w:eastAsia="仿宋" w:cs="仿宋"/>
          <w:color w:val="auto"/>
          <w:sz w:val="24"/>
        </w:rPr>
      </w:pPr>
      <w:r>
        <w:rPr>
          <w:rFonts w:hint="eastAsia" w:ascii="仿宋" w:hAnsi="仿宋" w:eastAsia="仿宋" w:cs="仿宋"/>
          <w:color w:val="auto"/>
          <w:sz w:val="24"/>
        </w:rPr>
        <w:t>8. 餐厅必需配置消毒设备且每餐进行消毒，未进行消毒的餐具不得给用餐人使用，消毒要有消毒记录。</w:t>
      </w:r>
    </w:p>
    <w:p>
      <w:p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9. 200人以内就餐，菜品种类不少于8种起，200人以上就餐，菜品种类不少于12种起；主食除米饭外应保证不少于两种以上面食。300人以上增设1－2个特色菜品。</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10. 餐厅的地面、桌椅要清理干净，摆放整齐。</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11. 中标方工作人员要统一着装、佩戴口罩、帽子，不留长指甲。</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（二）经营要求</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1. 不得使用地沟油和转基因油。</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2. 不得出现腐坏食物。</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3．不得出现食物中毒情况。</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4. 必须服从招标方管理。</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5. 不得出现转包分包的情况。</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6.必须自主添置法律法规和相关文件要求添置的物品和完成相关的工作。</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（三）其他要求</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1.硬件设备设施</w:t>
      </w:r>
    </w:p>
    <w:p>
      <w:pPr>
        <w:numPr>
          <w:ilvl w:val="0"/>
          <w:numId w:val="0"/>
        </w:numPr>
        <w:snapToGrid w:val="0"/>
        <w:spacing w:line="420" w:lineRule="exact"/>
        <w:ind w:firstLine="480" w:firstLineChars="200"/>
        <w:jc w:val="left"/>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b w:val="0"/>
          <w:bCs w:val="0"/>
          <w:color w:val="auto"/>
          <w:sz w:val="24"/>
          <w:lang w:val="en-US" w:eastAsia="zh-CN"/>
        </w:rPr>
        <w:t>中标人同意接收并支付上家承包方在经营期间所添置的设备设施及食堂现有设备设施使用费（所有设备设施将折旧后进行报价，投标人可在投标前对现有情况进行实际勘查）</w:t>
      </w:r>
      <w:r>
        <w:rPr>
          <w:rFonts w:hint="eastAsia" w:ascii="仿宋" w:hAnsi="仿宋" w:eastAsia="仿宋" w:cs="仿宋"/>
          <w:color w:val="auto"/>
          <w:sz w:val="24"/>
        </w:rPr>
        <w:t>，所有权归招标方。</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2）现有设备设施在移交给中标方时进行清点，合同期内由中标方负责整个食堂环境、设备设施改造和维护，改造升级费用由中标方承担。服务期内，因中标方原因造成原有设备损坏或遗失，中标方应承担相应的赔偿责任，赔偿责任按资产相应折旧年限的剩余年限计算（固定资产按五年折旧，其他设备按三年折旧）。设备（如冷藏柜、油烟机、洗碗机等中大型设备）因自然损耗造成无法使用的，中标方需提交有鉴定资质机构开具的证明，经招标方确认后，由中标方报损、购置，未经招标方签字确认的，按中标方损坏处理。</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（3）提供开放式厨房，要有员工取餐口及其它人员取餐口。</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2.运营管理与服务质量</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1）中标方应有三年以上饮食经营管理经验，具有专业的服务团队（如配有具备有效证件的食品安全管理员、营养师等）、规范化的食品安全管理体系。食品、餐饮经营许可证、营业执照等相关证照齐全，并购买食品安全公众责任险。</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2）中标方在食堂的运营管理以招标方员工用餐为主的前提下，辅以向其他单位或个人提供营业执照范围内允许的经营项目，外来人员（含病患、养老人员）与招标方员工使用的餐具必须进行明显区分，餐具包括餐盘、餐碗、筷子等，餐具的材质款式颜色等由招标方确定中标方再统一采购，保证分开清洗与消毒。</w:t>
      </w:r>
    </w:p>
    <w:p>
      <w:p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（3）中标方应对康乃馨员工个人消费享受优惠措施：餐饮8折（酒水、香烟除外），食堂小卖部零售商品的零售价格一律不得高于市场</w:t>
      </w:r>
      <w:r>
        <w:rPr>
          <w:rFonts w:hint="eastAsia" w:ascii="仿宋" w:hAnsi="仿宋" w:eastAsia="仿宋" w:cs="仿宋"/>
          <w:color w:val="auto"/>
          <w:sz w:val="24"/>
          <w:lang w:eastAsia="zh-CN"/>
        </w:rPr>
        <w:t>零售</w:t>
      </w:r>
      <w:r>
        <w:rPr>
          <w:rFonts w:hint="eastAsia" w:ascii="仿宋" w:hAnsi="仿宋" w:eastAsia="仿宋" w:cs="仿宋"/>
          <w:color w:val="auto"/>
          <w:sz w:val="24"/>
        </w:rPr>
        <w:t>价格。</w:t>
      </w:r>
    </w:p>
    <w:p>
      <w:p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4）所有中标方的从业人员应执行并遵守制定的各项安全、卫生规章制度，均须持证（健康证）上岗，保持个人卫生，常洗澡、常理发、不留怪发型（男员工不留长发），不留长指甲。遵守餐饮行业制定的仪容仪表规范标准，工作期间一律穿工作服，并做到干净整洁，打饭菜人员须戴工作帽、一次性口罩、一次性手套。</w:t>
      </w:r>
    </w:p>
    <w:p>
      <w:p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（5）中标方从业人员应做到热情、主动、耐心、周到、细致、尽职尽责，对用餐人员必须树立尊重和友好的态度。</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3.食品要求</w:t>
      </w:r>
    </w:p>
    <w:p>
      <w:p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1）品种：按照营养搭配，早餐包含包点、粉面、粥、油货等10个单品以上；中、晚餐设置主荤、次荤、营养蔬菜、时令蔬菜不低于10个品种供选择，菜品根据实际情况定期更换。提供单独份的小碟菜，不同价格供员工自行选择。炎热夏天（7-9月）每天免费提供凉茶、绿豆粥等解暑食物。</w:t>
      </w:r>
    </w:p>
    <w:p>
      <w:p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（2）菜式品种每天更新，要做到菜式不变质、无异味、无杂物。每餐须免费提供一种汤，并保质保量（开餐过程不得中断）。每周五前提供下一周菜单，需注明菜肴名称、主料。</w:t>
      </w:r>
    </w:p>
    <w:p>
      <w:p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（3）员工食堂每日须免费提供盐、酱油、醋、辣酱等调理品供员工选择。</w:t>
      </w:r>
    </w:p>
    <w:p>
      <w:p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（4）按成本价提供一次性餐具供员工打包所用。</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4.安全与卫生</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（1）中标方从业人员应严格遵守国家及地方颁布的关于食品安全、卫生、消防安全的法律法规和条例等。</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2）中标方须向招标方提供食品及原料供应商的资质和联系方式，以便招标方核实食品及原料的价格和质量。中标方的债权债务与招标方无关，招标方不承担任何连带责任。招标方有权审核、监督中标方的进货渠道（包括价格、质量），所有经招标方审核的中标方的供应商资质需提交招标方备案。</w:t>
      </w:r>
    </w:p>
    <w:p>
      <w:p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（3）中标方采购、运输、加工、存储食品应规范操作。控制好采购品的合格安全，不得采购三无产品，必须保留采购记录表或单据；每餐菜式必须留样 48 小时，且有记录档案。每餐蔬菜须经测试卡测试，无农药残留方可使用，且留有手工记录档案。原材料要做到新鲜、不枯、不烂、不蔫；分类存放于各容器中，生熟食品分开存放。</w:t>
      </w:r>
    </w:p>
    <w:p>
      <w:p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（4）招标方对中标方的生产加工及其场地有监督权和随访权，并有权对中标方的食品采购、加工、烹饪、储藏、运输及其他涉及到安全、卫生及餐饮质量的情况进行监督和提出整改意见。</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5）中标方负责食堂内部、用餐大厅环境卫生全面清洁整理。定期清理食堂内外水池、下水道，确保畅通。厨房、出品窗口、用餐场所在收市后需立即清理干净。中标方必须有防鼠、防蟑螂、防蚊蝇措施。生活垃圾和餐厨垃圾按有关法律、法规及招标方的规定处理。</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6）碗、筷、汤勺、不锈钢餐盘餐具要每餐消毒；塑料托盘、刀、蒸板、菜框每日消毒一次，不能用消毒柜消毒的餐具必须沸水消毒。其他所有固定设备如冰箱、蒸饭箱、消毒柜等需每周清理消毒一次。餐具清洗区须严格划分，清洗、漂洗、过水等，并有明显标记注明，拖把有专用清洗区，存放须与餐具区分。</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（7）加工区域必须有明显划分，并有明显标记注明，由于条件限制，粗加工可在地面进行，清洗必须上水池。</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（8）中标方要确保就餐人员的安全。在餐厅出现的就餐者的任何伤害事件，由中标方承担全部责任，招标方不承担任何连带责任。</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5.违规处理</w:t>
      </w:r>
    </w:p>
    <w:p>
      <w:p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1）若招标方检查发现或者经有关部门认定中标方出售的食品不符合国家和地方有关环境和食品卫生的标准，招标方有权单方解除合同，招标方不承担中标方的所有经济损失，招标方并从保证金中扣除20%作为违约金收取。中标方如造成招标方其他损失的，还应承担招标的赔偿责任，招标方不承担任何连带责任。</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因中标方提供不符合食品卫生安全标准的食物造成人员食物中毒的，由中标方负责赔偿并承担相应的法律后果。若因此造成第三人向招标方主张权利的，招标方所支出的一切费用由中标方承担，包括但不限于招标方为维护自身权利而支出的律师费、诉讼费、向第三人支付的费用等。招标方不承担任何连带责任。</w:t>
      </w:r>
    </w:p>
    <w:p>
      <w:p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2）未经许可，中标方不得随意占用招标方其他场地。中标方的员工应遵守招标方的有关规章制度，未经招标方同意，不得在超出其工作区域的其他场所进行与其工作无关的任何活动，否则，招标方有权按照公司规定对中标方进行处罚。</w:t>
      </w:r>
    </w:p>
    <w:p>
      <w:p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（3）员工对食堂的投诉内容经招标甲方核实分析，因中标方的产品质量不当引起的投诉，招标方有权要求中标方支付违约金，额度视情节轻重而定。如月投诉达五次以上者，招标方有权提前终止合作关系。</w:t>
      </w:r>
    </w:p>
    <w:p>
      <w:pPr>
        <w:spacing w:line="430" w:lineRule="exact"/>
        <w:ind w:firstLine="555"/>
        <w:rPr>
          <w:rFonts w:ascii="仿宋" w:hAnsi="仿宋" w:eastAsia="仿宋" w:cs="仿宋"/>
          <w:color w:val="auto"/>
          <w:sz w:val="24"/>
        </w:rPr>
      </w:pPr>
      <w:r>
        <w:rPr>
          <w:rFonts w:hint="eastAsia" w:ascii="仿宋" w:hAnsi="仿宋" w:eastAsia="仿宋" w:cs="仿宋"/>
          <w:color w:val="auto"/>
          <w:sz w:val="24"/>
        </w:rPr>
        <w:t>（4）中标方严禁向员工提供隔夜剩饭、剩菜，一经发现招标方有权要求中标方支付违约金：第一次 1000 元，第二次 2000 元，第三次 5000 元并终止合作关系。中标方应根据就餐人数合理安排每餐数量。</w:t>
      </w:r>
    </w:p>
    <w:p>
      <w:pPr>
        <w:spacing w:line="430" w:lineRule="exact"/>
        <w:ind w:firstLine="555"/>
        <w:rPr>
          <w:rFonts w:ascii="仿宋" w:hAnsi="仿宋" w:eastAsia="仿宋" w:cs="仿宋"/>
          <w:color w:val="auto"/>
          <w:sz w:val="24"/>
        </w:rPr>
      </w:pPr>
      <w:r>
        <w:rPr>
          <w:rFonts w:hint="eastAsia" w:ascii="仿宋" w:hAnsi="仿宋" w:eastAsia="仿宋" w:cs="仿宋"/>
          <w:color w:val="auto"/>
          <w:sz w:val="24"/>
        </w:rPr>
        <w:t>（5）若招标方质检中出现问题未及时限期整改，招标方有权要求中标方支付500元每次的违约金。</w:t>
      </w:r>
    </w:p>
    <w:p>
      <w:pPr>
        <w:spacing w:line="43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五、考核标准</w:t>
      </w:r>
    </w:p>
    <w:p>
      <w:pPr>
        <w:spacing w:line="430" w:lineRule="exact"/>
        <w:ind w:firstLine="420" w:firstLineChars="200"/>
        <w:rPr>
          <w:rFonts w:hint="eastAsia" w:ascii="仿宋" w:hAnsi="仿宋" w:eastAsia="仿宋" w:cs="仿宋"/>
          <w:color w:val="auto"/>
          <w:sz w:val="24"/>
        </w:rPr>
      </w:pPr>
      <w:r>
        <w:rPr>
          <w:rFonts w:hint="eastAsia"/>
          <w:color w:val="auto"/>
        </w:rPr>
        <w:t xml:space="preserve"> </w:t>
      </w:r>
      <w:r>
        <w:rPr>
          <w:rFonts w:hint="eastAsia" w:ascii="仿宋" w:hAnsi="仿宋" w:eastAsia="仿宋" w:cs="仿宋"/>
          <w:color w:val="auto"/>
          <w:sz w:val="24"/>
        </w:rPr>
        <w:t>（1）</w:t>
      </w:r>
      <w:r>
        <w:rPr>
          <w:rFonts w:hint="eastAsia" w:ascii="仿宋" w:hAnsi="仿宋" w:eastAsia="仿宋" w:cs="仿宋"/>
          <w:b w:val="0"/>
          <w:bCs w:val="0"/>
          <w:color w:val="auto"/>
          <w:sz w:val="24"/>
          <w:lang w:val="en-US" w:eastAsia="zh-CN"/>
        </w:rPr>
        <w:t>公司综合管理部牵头每季度将组织相关人员对食堂的卫生状况、饭菜质量、服务态度、饭菜价格及食堂管理等方面进行综合考核评分，最终考核评分以每季度得分平均值为准，公司将按照得分情况对项目承包方进行租金返还，具体标准为：考评得分95分（含）以上者公司将全额返还项目年租金；考评得分95分-90分（含）以上者公司将按80%返还项目年租金；考评得分90分-80分（含）以上者公司将按50%返还项目年租金；考评得分低于80分者公司将不再返还项目年租金；</w:t>
      </w:r>
      <w:r>
        <w:rPr>
          <w:rFonts w:hint="eastAsia" w:ascii="仿宋" w:hAnsi="仿宋" w:eastAsia="仿宋" w:cs="仿宋"/>
          <w:color w:val="auto"/>
          <w:sz w:val="24"/>
          <w:lang w:bidi="ar"/>
        </w:rPr>
        <w:t>连续两个季度低于</w:t>
      </w:r>
      <w:r>
        <w:rPr>
          <w:rFonts w:hint="eastAsia" w:ascii="仿宋" w:hAnsi="仿宋" w:eastAsia="仿宋" w:cs="仿宋"/>
          <w:color w:val="auto"/>
          <w:sz w:val="24"/>
        </w:rPr>
        <w:t>60</w:t>
      </w:r>
      <w:r>
        <w:rPr>
          <w:rFonts w:hint="eastAsia" w:ascii="仿宋" w:hAnsi="仿宋" w:eastAsia="仿宋" w:cs="仿宋"/>
          <w:color w:val="auto"/>
          <w:sz w:val="24"/>
          <w:lang w:eastAsia="zh-CN"/>
        </w:rPr>
        <w:t>分</w:t>
      </w:r>
      <w:r>
        <w:rPr>
          <w:rFonts w:hint="eastAsia" w:ascii="仿宋" w:hAnsi="仿宋" w:eastAsia="仿宋" w:cs="仿宋"/>
          <w:color w:val="auto"/>
          <w:sz w:val="24"/>
        </w:rPr>
        <w:t>以下者，</w:t>
      </w:r>
      <w:r>
        <w:rPr>
          <w:rFonts w:hint="eastAsia" w:ascii="仿宋" w:hAnsi="仿宋" w:eastAsia="仿宋" w:cs="仿宋"/>
          <w:color w:val="auto"/>
          <w:sz w:val="24"/>
          <w:lang w:eastAsia="zh-CN"/>
        </w:rPr>
        <w:t>公司</w:t>
      </w:r>
      <w:r>
        <w:rPr>
          <w:rFonts w:hint="eastAsia" w:ascii="仿宋" w:hAnsi="仿宋" w:eastAsia="仿宋" w:cs="仿宋"/>
          <w:color w:val="auto"/>
          <w:sz w:val="24"/>
        </w:rPr>
        <w:t>有权提前终止合作关系并不退还</w:t>
      </w:r>
      <w:r>
        <w:rPr>
          <w:rFonts w:hint="eastAsia" w:ascii="仿宋" w:hAnsi="仿宋" w:eastAsia="仿宋" w:cs="仿宋"/>
          <w:color w:val="auto"/>
          <w:sz w:val="24"/>
          <w:lang w:eastAsia="zh-CN"/>
        </w:rPr>
        <w:t>项目年租金和</w:t>
      </w:r>
      <w:r>
        <w:rPr>
          <w:rFonts w:hint="eastAsia" w:ascii="仿宋" w:hAnsi="仿宋" w:eastAsia="仿宋" w:cs="仿宋"/>
          <w:color w:val="auto"/>
          <w:sz w:val="24"/>
        </w:rPr>
        <w:t>履约保证金。</w:t>
      </w:r>
    </w:p>
    <w:p>
      <w:pPr>
        <w:spacing w:line="43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六、其他</w:t>
      </w:r>
    </w:p>
    <w:p>
      <w:pPr>
        <w:spacing w:line="430" w:lineRule="exact"/>
        <w:ind w:firstLine="555"/>
        <w:rPr>
          <w:rFonts w:ascii="仿宋" w:hAnsi="仿宋" w:eastAsia="仿宋" w:cs="仿宋"/>
          <w:color w:val="auto"/>
          <w:sz w:val="24"/>
        </w:rPr>
      </w:pPr>
      <w:r>
        <w:rPr>
          <w:rFonts w:hint="eastAsia" w:ascii="仿宋" w:hAnsi="仿宋" w:eastAsia="仿宋" w:cs="仿宋"/>
          <w:color w:val="auto"/>
          <w:sz w:val="24"/>
        </w:rPr>
        <w:t>（一）鉴于中标方为一独立的法律主体且自主经营，因此，其在经营招标方员工食堂期间应独自承担因经营发生的所有费用和责任，包括但不限于燃料费、从业人员的工资福利、工作服、健康证、节日礼品、工伤事故及各种罚款等管理费及其他雇主责任，招标方不承担任何连带责任。</w:t>
      </w:r>
    </w:p>
    <w:p>
      <w:pPr>
        <w:spacing w:line="430" w:lineRule="exact"/>
        <w:ind w:firstLine="555"/>
        <w:rPr>
          <w:rFonts w:ascii="仿宋" w:hAnsi="仿宋" w:eastAsia="仿宋" w:cs="仿宋"/>
          <w:color w:val="auto"/>
          <w:sz w:val="24"/>
        </w:rPr>
      </w:pPr>
      <w:r>
        <w:rPr>
          <w:rFonts w:hint="eastAsia" w:ascii="仿宋" w:hAnsi="仿宋" w:eastAsia="仿宋" w:cs="仿宋"/>
          <w:color w:val="auto"/>
          <w:sz w:val="24"/>
        </w:rPr>
        <w:t>（二）中标方自行招聘、培训和安排员工作息，并负责员工工资、福利、食宿等。允许中标方在员工食堂设置办公室，根据消防安全“三合一场所”规定，员工住宿不得与生产、仓储、经营场所混合设置在同一空间建筑内。</w:t>
      </w:r>
    </w:p>
    <w:p>
      <w:pPr>
        <w:spacing w:line="430" w:lineRule="exact"/>
        <w:ind w:firstLine="555"/>
        <w:rPr>
          <w:rFonts w:ascii="仿宋" w:hAnsi="仿宋" w:eastAsia="仿宋" w:cs="仿宋"/>
          <w:color w:val="auto"/>
          <w:sz w:val="24"/>
        </w:rPr>
      </w:pPr>
      <w:r>
        <w:rPr>
          <w:rFonts w:hint="eastAsia" w:ascii="仿宋" w:hAnsi="仿宋" w:eastAsia="仿宋" w:cs="仿宋"/>
          <w:color w:val="auto"/>
          <w:sz w:val="24"/>
        </w:rPr>
        <w:t>（三）中标方员工与招标方不存在劳动关系。如中标方员工与中标方发生劳动纠纷，均由中标方承担一切责任，招标方不承担任何连带责任。若因此导致劳动者向招标方主张权利的，招标方所支出的一切费用均有权要求中标方承担，包括但不限于招标方为维护自身权利而支出的律师费、诉讼费、向劳动者支付的费用等。招标方不承担任何连带责任。</w:t>
      </w:r>
    </w:p>
    <w:p>
      <w:pPr>
        <w:spacing w:line="430" w:lineRule="exact"/>
        <w:ind w:firstLine="555"/>
        <w:rPr>
          <w:rFonts w:ascii="仿宋" w:hAnsi="仿宋" w:eastAsia="仿宋" w:cs="仿宋"/>
          <w:color w:val="auto"/>
          <w:sz w:val="24"/>
        </w:rPr>
      </w:pPr>
      <w:r>
        <w:rPr>
          <w:rFonts w:hint="eastAsia" w:ascii="仿宋" w:hAnsi="仿宋" w:eastAsia="仿宋" w:cs="仿宋"/>
          <w:color w:val="auto"/>
          <w:sz w:val="24"/>
        </w:rPr>
        <w:t>（四）未经招标方同意，中标方不得擅自将食堂转包给第三者，否则招标方有权没收合同履约保证金作为违约金。</w:t>
      </w:r>
    </w:p>
    <w:p>
      <w:pPr>
        <w:spacing w:line="430" w:lineRule="exact"/>
        <w:ind w:firstLine="555"/>
        <w:rPr>
          <w:rFonts w:hint="eastAsia" w:ascii="仿宋" w:hAnsi="仿宋" w:eastAsia="仿宋" w:cs="仿宋"/>
          <w:color w:val="auto"/>
          <w:sz w:val="24"/>
        </w:rPr>
      </w:pPr>
      <w:r>
        <w:rPr>
          <w:rFonts w:hint="eastAsia" w:ascii="仿宋" w:hAnsi="仿宋" w:eastAsia="仿宋" w:cs="仿宋"/>
          <w:color w:val="auto"/>
          <w:sz w:val="24"/>
        </w:rPr>
        <w:t>（五）中标方应于本合同正式签订前向招标方一次性缴纳履约保证金贰拾万元整（¥200,000.00）。若因中标方的原因导致的招标方单方解除或终止合同或中标方无故提前终止合同的，招标方有权保留该合同保证金作为违约金收取，不予以退还。若合同自然终止，且中标方不存在违约赔偿责任</w:t>
      </w:r>
      <w:r>
        <w:rPr>
          <w:rFonts w:hint="eastAsia" w:ascii="仿宋" w:hAnsi="仿宋" w:eastAsia="仿宋" w:cs="仿宋"/>
          <w:color w:val="auto"/>
          <w:sz w:val="24"/>
          <w:lang w:eastAsia="zh-CN"/>
        </w:rPr>
        <w:t>、结清所有款项、办理所有交接手续后</w:t>
      </w:r>
      <w:r>
        <w:rPr>
          <w:rFonts w:hint="eastAsia" w:ascii="仿宋" w:hAnsi="仿宋" w:eastAsia="仿宋" w:cs="仿宋"/>
          <w:color w:val="auto"/>
          <w:sz w:val="24"/>
        </w:rPr>
        <w:t>招标方于合同终止两个月</w:t>
      </w:r>
      <w:r>
        <w:rPr>
          <w:rFonts w:hint="eastAsia" w:ascii="仿宋" w:hAnsi="仿宋" w:eastAsia="仿宋" w:cs="仿宋"/>
          <w:color w:val="auto"/>
          <w:sz w:val="24"/>
          <w:lang w:eastAsia="zh-CN"/>
        </w:rPr>
        <w:t>后</w:t>
      </w:r>
      <w:r>
        <w:rPr>
          <w:rFonts w:hint="eastAsia" w:ascii="仿宋" w:hAnsi="仿宋" w:eastAsia="仿宋" w:cs="仿宋"/>
          <w:color w:val="auto"/>
          <w:sz w:val="24"/>
        </w:rPr>
        <w:t>将该合同保证金无息全部退还。</w:t>
      </w:r>
    </w:p>
    <w:p>
      <w:pPr>
        <w:spacing w:line="420" w:lineRule="exact"/>
        <w:ind w:firstLine="555"/>
        <w:rPr>
          <w:rFonts w:hint="eastAsia" w:ascii="仿宋" w:hAnsi="仿宋" w:eastAsia="仿宋" w:cs="仿宋"/>
          <w:color w:val="auto"/>
          <w:sz w:val="24"/>
        </w:rPr>
      </w:pPr>
      <w:r>
        <w:rPr>
          <w:rFonts w:hint="eastAsia" w:ascii="仿宋" w:hAnsi="仿宋" w:eastAsia="仿宋" w:cs="仿宋"/>
          <w:color w:val="auto"/>
          <w:sz w:val="24"/>
        </w:rPr>
        <w:t>（六）本项目合同签订有效期为</w:t>
      </w:r>
      <w:r>
        <w:rPr>
          <w:rFonts w:hint="eastAsia" w:ascii="仿宋" w:hAnsi="仿宋" w:eastAsia="仿宋" w:cs="仿宋"/>
          <w:color w:val="auto"/>
          <w:sz w:val="24"/>
          <w:lang w:val="en-US" w:eastAsia="zh-CN"/>
        </w:rPr>
        <w:t>5</w:t>
      </w:r>
      <w:r>
        <w:rPr>
          <w:rFonts w:hint="eastAsia" w:ascii="仿宋" w:hAnsi="仿宋" w:eastAsia="仿宋" w:cs="仿宋"/>
          <w:color w:val="auto"/>
          <w:sz w:val="24"/>
        </w:rPr>
        <w:t>年。</w:t>
      </w:r>
    </w:p>
    <w:p>
      <w:pPr>
        <w:spacing w:line="420" w:lineRule="exact"/>
        <w:ind w:firstLine="555" w:firstLineChars="0"/>
        <w:rPr>
          <w:rFonts w:hint="eastAsia" w:ascii="仿宋" w:hAnsi="仿宋" w:eastAsia="仿宋" w:cs="仿宋"/>
          <w:b/>
          <w:bCs/>
          <w:color w:val="auto"/>
          <w:sz w:val="24"/>
        </w:rPr>
      </w:pPr>
      <w:r>
        <w:rPr>
          <w:rFonts w:hint="eastAsia" w:ascii="仿宋" w:hAnsi="仿宋" w:eastAsia="仿宋" w:cs="仿宋"/>
          <w:b/>
          <w:bCs/>
          <w:color w:val="auto"/>
          <w:sz w:val="24"/>
        </w:rPr>
        <w:t>七．风险及履约保证金</w:t>
      </w:r>
    </w:p>
    <w:p>
      <w:pPr>
        <w:spacing w:line="420" w:lineRule="exact"/>
        <w:ind w:firstLine="555"/>
        <w:rPr>
          <w:rFonts w:hint="eastAsia" w:ascii="仿宋" w:hAnsi="仿宋" w:eastAsia="仿宋" w:cs="仿宋"/>
          <w:color w:val="auto"/>
          <w:sz w:val="24"/>
        </w:rPr>
      </w:pPr>
      <w:r>
        <w:rPr>
          <w:rFonts w:hint="eastAsia" w:ascii="仿宋" w:hAnsi="仿宋" w:eastAsia="仿宋" w:cs="仿宋"/>
          <w:color w:val="auto"/>
          <w:sz w:val="24"/>
        </w:rPr>
        <w:t>1.甲方应充分考虑到物价起伏等因素造成的投资成本增加后果。</w:t>
      </w:r>
    </w:p>
    <w:p>
      <w:pPr>
        <w:spacing w:line="420" w:lineRule="exact"/>
        <w:ind w:firstLine="555"/>
        <w:rPr>
          <w:rFonts w:ascii="仿宋" w:hAnsi="仿宋" w:eastAsia="仿宋" w:cs="仿宋"/>
          <w:color w:val="auto"/>
          <w:sz w:val="24"/>
        </w:rPr>
      </w:pPr>
      <w:r>
        <w:rPr>
          <w:rFonts w:hint="eastAsia" w:ascii="仿宋" w:hAnsi="仿宋" w:eastAsia="仿宋" w:cs="仿宋"/>
          <w:b w:val="0"/>
          <w:bCs w:val="0"/>
          <w:color w:val="auto"/>
          <w:w w:val="100"/>
          <w:kern w:val="2"/>
          <w:sz w:val="24"/>
          <w:szCs w:val="24"/>
        </w:rPr>
        <w:t>2.中标后，7日内签订合同，</w:t>
      </w:r>
      <w:r>
        <w:rPr>
          <w:rFonts w:hint="eastAsia" w:ascii="仿宋" w:hAnsi="仿宋" w:eastAsia="仿宋" w:cs="仿宋"/>
          <w:b w:val="0"/>
          <w:bCs w:val="0"/>
          <w:color w:val="auto"/>
          <w:w w:val="100"/>
          <w:kern w:val="2"/>
          <w:sz w:val="24"/>
          <w:szCs w:val="24"/>
          <w:lang w:eastAsia="zh-CN"/>
        </w:rPr>
        <w:t>中标方</w:t>
      </w:r>
      <w:r>
        <w:rPr>
          <w:rFonts w:hint="eastAsia" w:ascii="仿宋" w:hAnsi="仿宋" w:eastAsia="仿宋" w:cs="仿宋"/>
          <w:b w:val="0"/>
          <w:bCs w:val="0"/>
          <w:color w:val="auto"/>
          <w:w w:val="100"/>
          <w:kern w:val="2"/>
          <w:sz w:val="24"/>
          <w:szCs w:val="24"/>
        </w:rPr>
        <w:t>交纳</w:t>
      </w:r>
      <w:r>
        <w:rPr>
          <w:rFonts w:hint="eastAsia" w:ascii="仿宋" w:hAnsi="仿宋" w:eastAsia="仿宋" w:cs="仿宋"/>
          <w:b w:val="0"/>
          <w:bCs w:val="0"/>
          <w:color w:val="auto"/>
          <w:w w:val="100"/>
          <w:kern w:val="2"/>
          <w:sz w:val="24"/>
          <w:szCs w:val="24"/>
          <w:lang w:eastAsia="zh-CN"/>
        </w:rPr>
        <w:t>的</w:t>
      </w:r>
      <w:r>
        <w:rPr>
          <w:rFonts w:hint="eastAsia" w:ascii="仿宋" w:hAnsi="仿宋" w:eastAsia="仿宋" w:cs="仿宋"/>
          <w:b w:val="0"/>
          <w:bCs w:val="0"/>
          <w:color w:val="auto"/>
          <w:w w:val="100"/>
          <w:kern w:val="2"/>
          <w:sz w:val="24"/>
          <w:szCs w:val="24"/>
        </w:rPr>
        <w:t>履约保证金二十万元，无违约扣罚的，保证金在合同期满后或经营终止时两个月内无息退还。</w:t>
      </w:r>
    </w:p>
    <w:p>
      <w:pPr>
        <w:adjustRightInd w:val="0"/>
        <w:snapToGrid w:val="0"/>
        <w:spacing w:line="420" w:lineRule="exact"/>
        <w:ind w:firstLine="422" w:firstLineChars="200"/>
        <w:rPr>
          <w:rFonts w:ascii="仿宋" w:hAnsi="仿宋" w:eastAsia="仿宋" w:cs="仿宋"/>
          <w:color w:val="auto"/>
          <w:sz w:val="24"/>
        </w:rPr>
      </w:pPr>
      <w:r>
        <w:rPr>
          <w:rFonts w:hint="eastAsia" w:ascii="仿宋" w:hAnsi="仿宋" w:eastAsia="仿宋" w:cs="仿宋"/>
          <w:b/>
          <w:bCs/>
          <w:color w:val="auto"/>
          <w:kern w:val="32"/>
          <w:sz w:val="21"/>
          <w:szCs w:val="21"/>
        </w:rPr>
        <w:t>注：以上要求及标准均为实质性条款，投标人不得有任何负偏离，否则作无效投标处理，</w:t>
      </w:r>
      <w:r>
        <w:rPr>
          <w:rFonts w:hint="eastAsia" w:ascii="仿宋" w:hAnsi="仿宋" w:eastAsia="仿宋" w:cs="仿宋"/>
          <w:b/>
          <w:bCs/>
          <w:color w:val="auto"/>
          <w:sz w:val="21"/>
          <w:szCs w:val="21"/>
        </w:rPr>
        <w:t>对于上述项目要求，投标人应在投标文件中进行回应，做出承诺及说明。</w:t>
      </w:r>
    </w:p>
    <w:p>
      <w:pPr>
        <w:spacing w:line="420" w:lineRule="exact"/>
        <w:rPr>
          <w:rFonts w:ascii="宋体" w:hAnsi="宋体" w:eastAsia="宋体" w:cs="宋体"/>
          <w:color w:val="auto"/>
          <w:sz w:val="24"/>
        </w:rPr>
      </w:pPr>
      <w:r>
        <w:rPr>
          <w:rFonts w:hint="eastAsia" w:ascii="宋体" w:hAnsi="宋体" w:eastAsia="宋体" w:cs="宋体"/>
          <w:color w:val="auto"/>
          <w:sz w:val="24"/>
        </w:rPr>
        <w:br w:type="page"/>
      </w:r>
    </w:p>
    <w:p>
      <w:pPr>
        <w:rPr>
          <w:color w:val="auto"/>
        </w:rPr>
      </w:pPr>
    </w:p>
    <w:p>
      <w:pPr>
        <w:spacing w:before="120" w:after="120"/>
        <w:jc w:val="center"/>
        <w:outlineLvl w:val="0"/>
        <w:rPr>
          <w:rFonts w:ascii="华文细黑" w:hAnsi="华文细黑" w:eastAsia="华文细黑" w:cs="华文细黑"/>
          <w:b/>
          <w:bCs/>
          <w:color w:val="auto"/>
          <w:sz w:val="44"/>
          <w:szCs w:val="44"/>
        </w:rPr>
      </w:pPr>
      <w:bookmarkStart w:id="91" w:name="_Toc27204_WPSOffice_Level1"/>
      <w:bookmarkStart w:id="92" w:name="_Toc30980_WPSOffice_Level1"/>
      <w:r>
        <w:rPr>
          <w:rFonts w:hint="eastAsia" w:asciiTheme="minorEastAsia" w:hAnsiTheme="minorEastAsia"/>
          <w:b/>
          <w:bCs/>
          <w:color w:val="auto"/>
          <w:sz w:val="44"/>
          <w:szCs w:val="44"/>
        </w:rPr>
        <w:t xml:space="preserve">第四章 </w:t>
      </w:r>
      <w:r>
        <w:rPr>
          <w:rFonts w:hint="eastAsia" w:asciiTheme="minorEastAsia" w:hAnsiTheme="minorEastAsia"/>
          <w:color w:val="auto"/>
        </w:rPr>
        <w:t xml:space="preserve"> </w:t>
      </w:r>
      <w:bookmarkStart w:id="93" w:name="_Toc31252_WPSOffice_Level1"/>
      <w:r>
        <w:rPr>
          <w:rFonts w:hint="eastAsia" w:ascii="仿宋_GB2312" w:eastAsia="仿宋_GB2312"/>
          <w:b/>
          <w:bCs/>
          <w:color w:val="auto"/>
          <w:sz w:val="52"/>
          <w:szCs w:val="52"/>
        </w:rPr>
        <w:t>康乃馨食堂承</w:t>
      </w:r>
      <w:bookmarkEnd w:id="91"/>
      <w:bookmarkEnd w:id="92"/>
      <w:r>
        <w:rPr>
          <w:rFonts w:hint="eastAsia" w:ascii="仿宋_GB2312" w:eastAsia="仿宋_GB2312"/>
          <w:b/>
          <w:bCs/>
          <w:color w:val="auto"/>
          <w:sz w:val="52"/>
          <w:szCs w:val="52"/>
        </w:rPr>
        <w:t>包运营</w:t>
      </w:r>
      <w:bookmarkEnd w:id="93"/>
      <w:r>
        <w:rPr>
          <w:rFonts w:hint="eastAsia" w:ascii="仿宋_GB2312" w:eastAsia="仿宋_GB2312"/>
          <w:b/>
          <w:bCs/>
          <w:color w:val="auto"/>
          <w:sz w:val="52"/>
          <w:szCs w:val="52"/>
        </w:rPr>
        <w:t>协议</w:t>
      </w:r>
    </w:p>
    <w:p>
      <w:pPr>
        <w:rPr>
          <w:color w:val="auto"/>
        </w:rPr>
      </w:pPr>
    </w:p>
    <w:p>
      <w:pPr>
        <w:rPr>
          <w:color w:val="auto"/>
        </w:rPr>
      </w:pPr>
    </w:p>
    <w:p>
      <w:pPr>
        <w:rPr>
          <w:color w:val="auto"/>
        </w:rPr>
      </w:pPr>
    </w:p>
    <w:p>
      <w:pPr>
        <w:rPr>
          <w:color w:val="auto"/>
        </w:rPr>
      </w:pPr>
    </w:p>
    <w:p>
      <w:pPr>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rPr>
          <w:color w:val="auto"/>
        </w:rPr>
      </w:pPr>
    </w:p>
    <w:p>
      <w:pPr>
        <w:pStyle w:val="25"/>
        <w:rPr>
          <w:color w:val="auto"/>
        </w:rPr>
      </w:pPr>
    </w:p>
    <w:p>
      <w:pPr>
        <w:pStyle w:val="25"/>
        <w:rPr>
          <w:color w:val="auto"/>
        </w:rPr>
      </w:pPr>
    </w:p>
    <w:p>
      <w:pPr>
        <w:rPr>
          <w:color w:val="auto"/>
        </w:rPr>
      </w:pPr>
    </w:p>
    <w:p>
      <w:pPr>
        <w:rPr>
          <w:b/>
          <w:bCs/>
          <w:color w:val="auto"/>
          <w:sz w:val="32"/>
          <w:szCs w:val="32"/>
        </w:rPr>
      </w:pPr>
      <w:bookmarkStart w:id="94" w:name="_Toc11114_WPSOffice_Level1"/>
      <w:r>
        <w:rPr>
          <w:rFonts w:hint="eastAsia"/>
          <w:b/>
          <w:bCs/>
          <w:color w:val="auto"/>
          <w:sz w:val="32"/>
          <w:szCs w:val="32"/>
        </w:rPr>
        <w:t>出租方：湖南</w:t>
      </w:r>
      <w:r>
        <w:rPr>
          <w:rFonts w:hint="eastAsia" w:ascii="仿宋_GB2312" w:eastAsia="仿宋_GB2312"/>
          <w:b/>
          <w:bCs/>
          <w:color w:val="auto"/>
          <w:sz w:val="30"/>
          <w:szCs w:val="30"/>
        </w:rPr>
        <w:t>康乃馨养老产业投资置业有限公司</w:t>
      </w:r>
      <w:bookmarkEnd w:id="94"/>
      <w:r>
        <w:rPr>
          <w:rFonts w:hint="eastAsia"/>
          <w:b/>
          <w:bCs/>
          <w:color w:val="auto"/>
          <w:sz w:val="32"/>
          <w:szCs w:val="32"/>
        </w:rPr>
        <w:t>（甲方）</w:t>
      </w:r>
    </w:p>
    <w:p>
      <w:pPr>
        <w:rPr>
          <w:b/>
          <w:bCs/>
          <w:color w:val="auto"/>
          <w:sz w:val="32"/>
          <w:szCs w:val="32"/>
          <w:u w:val="single"/>
        </w:rPr>
      </w:pPr>
      <w:bookmarkStart w:id="95" w:name="_Toc3065_WPSOffice_Level1"/>
      <w:r>
        <w:rPr>
          <w:rFonts w:hint="eastAsia"/>
          <w:b/>
          <w:bCs/>
          <w:color w:val="auto"/>
          <w:sz w:val="32"/>
          <w:szCs w:val="32"/>
        </w:rPr>
        <w:t>承租方：</w:t>
      </w:r>
      <w:r>
        <w:rPr>
          <w:rFonts w:hint="eastAsia"/>
          <w:color w:val="auto"/>
          <w:sz w:val="32"/>
          <w:szCs w:val="32"/>
          <w:u w:val="single"/>
        </w:rPr>
        <w:t xml:space="preserve">                                </w:t>
      </w:r>
      <w:r>
        <w:rPr>
          <w:rFonts w:hint="eastAsia"/>
          <w:b/>
          <w:bCs/>
          <w:color w:val="auto"/>
          <w:sz w:val="32"/>
          <w:szCs w:val="32"/>
        </w:rPr>
        <w:t>（乙方）</w:t>
      </w:r>
      <w:bookmarkEnd w:id="95"/>
    </w:p>
    <w:p>
      <w:pPr>
        <w:pStyle w:val="25"/>
        <w:ind w:firstLine="0" w:firstLineChars="0"/>
        <w:jc w:val="center"/>
        <w:rPr>
          <w:b/>
          <w:bCs/>
          <w:color w:val="auto"/>
          <w:sz w:val="32"/>
          <w:szCs w:val="32"/>
        </w:rPr>
      </w:pPr>
    </w:p>
    <w:p>
      <w:pPr>
        <w:pStyle w:val="25"/>
        <w:ind w:firstLine="0" w:firstLineChars="0"/>
        <w:jc w:val="center"/>
        <w:rPr>
          <w:b/>
          <w:bCs/>
          <w:color w:val="auto"/>
        </w:rPr>
      </w:pPr>
      <w:bookmarkStart w:id="96" w:name="_Toc1606_WPSOffice_Level1"/>
      <w:r>
        <w:rPr>
          <w:rFonts w:hint="eastAsia"/>
          <w:b/>
          <w:bCs/>
          <w:color w:val="auto"/>
          <w:sz w:val="32"/>
          <w:szCs w:val="32"/>
        </w:rPr>
        <w:t>二〇二</w:t>
      </w:r>
      <w:r>
        <w:rPr>
          <w:rFonts w:hint="eastAsia"/>
          <w:b/>
          <w:bCs/>
          <w:color w:val="auto"/>
          <w:sz w:val="32"/>
          <w:szCs w:val="32"/>
          <w:lang w:eastAsia="zh-CN"/>
        </w:rPr>
        <w:t>二</w:t>
      </w:r>
      <w:r>
        <w:rPr>
          <w:rFonts w:hint="eastAsia"/>
          <w:b/>
          <w:bCs/>
          <w:color w:val="auto"/>
          <w:sz w:val="32"/>
          <w:szCs w:val="32"/>
        </w:rPr>
        <w:t>年</w:t>
      </w:r>
      <w:r>
        <w:rPr>
          <w:rFonts w:hint="eastAsia" w:ascii="Times New Roman" w:hAnsi="Times New Roman" w:eastAsia="仿宋"/>
          <w:color w:val="auto"/>
          <w:sz w:val="32"/>
          <w:szCs w:val="32"/>
          <w:u w:val="single"/>
        </w:rPr>
        <w:t xml:space="preserve"> </w:t>
      </w:r>
      <w:r>
        <w:rPr>
          <w:rFonts w:hint="eastAsia" w:ascii="Times New Roman" w:hAnsi="Times New Roman" w:eastAsia="仿宋"/>
          <w:color w:val="auto"/>
          <w:sz w:val="32"/>
          <w:szCs w:val="32"/>
          <w:u w:val="single"/>
          <w:lang w:eastAsia="zh-CN"/>
        </w:rPr>
        <w:t>二</w:t>
      </w:r>
      <w:r>
        <w:rPr>
          <w:rFonts w:hint="eastAsia"/>
          <w:b/>
          <w:bCs/>
          <w:color w:val="auto"/>
          <w:sz w:val="32"/>
          <w:szCs w:val="32"/>
        </w:rPr>
        <w:t>月</w:t>
      </w:r>
      <w:bookmarkEnd w:id="96"/>
    </w:p>
    <w:p>
      <w:pPr>
        <w:rPr>
          <w:color w:val="auto"/>
        </w:rPr>
      </w:pPr>
      <w:r>
        <w:rPr>
          <w:color w:val="auto"/>
        </w:rPr>
        <w:br w:type="page"/>
      </w:r>
    </w:p>
    <w:p>
      <w:pPr>
        <w:spacing w:before="100" w:beforeAutospacing="1" w:after="100" w:afterAutospacing="1" w:line="420" w:lineRule="exact"/>
        <w:jc w:val="center"/>
        <w:outlineLvl w:val="2"/>
        <w:rPr>
          <w:rFonts w:ascii="仿宋" w:hAnsi="仿宋" w:eastAsia="仿宋" w:cs="仿宋"/>
          <w:b/>
          <w:bCs/>
          <w:color w:val="auto"/>
          <w:sz w:val="36"/>
          <w:szCs w:val="36"/>
        </w:rPr>
      </w:pPr>
      <w:r>
        <w:rPr>
          <w:rFonts w:hint="eastAsia" w:ascii="仿宋" w:hAnsi="仿宋" w:eastAsia="仿宋" w:cs="仿宋"/>
          <w:b/>
          <w:color w:val="auto"/>
          <w:sz w:val="36"/>
          <w:szCs w:val="36"/>
        </w:rPr>
        <w:t>湖南康乃馨一栋二楼餐饮承包协议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20" w:lineRule="exact"/>
        <w:jc w:val="right"/>
        <w:rPr>
          <w:rFonts w:ascii="仿宋" w:hAnsi="仿宋" w:eastAsia="仿宋" w:cs="仿宋"/>
          <w:color w:val="auto"/>
          <w:spacing w:val="6"/>
          <w:sz w:val="24"/>
        </w:rPr>
      </w:pPr>
      <w:r>
        <w:rPr>
          <w:rFonts w:hint="eastAsia" w:ascii="仿宋" w:hAnsi="仿宋" w:eastAsia="仿宋" w:cs="仿宋"/>
          <w:color w:val="auto"/>
          <w:spacing w:val="6"/>
          <w:sz w:val="24"/>
        </w:rPr>
        <w:t xml:space="preserve">合同编号：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仿宋" w:hAnsi="仿宋" w:eastAsia="仿宋" w:cs="仿宋"/>
          <w:color w:val="auto"/>
          <w:sz w:val="24"/>
        </w:rPr>
      </w:pPr>
      <w:r>
        <w:rPr>
          <w:rFonts w:hint="eastAsia" w:ascii="仿宋" w:hAnsi="仿宋" w:eastAsia="仿宋" w:cs="仿宋"/>
          <w:color w:val="auto"/>
          <w:sz w:val="24"/>
        </w:rPr>
        <w:t>甲方：湖南康乃馨养老产业投资置业有限公司 （以下简称甲方）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仿宋" w:hAnsi="仿宋" w:eastAsia="仿宋" w:cs="仿宋"/>
          <w:color w:val="auto"/>
          <w:sz w:val="24"/>
        </w:rPr>
      </w:pPr>
      <w:r>
        <w:rPr>
          <w:rFonts w:hint="eastAsia" w:ascii="仿宋" w:hAnsi="仿宋" w:eastAsia="仿宋" w:cs="仿宋"/>
          <w:color w:val="auto"/>
          <w:sz w:val="24"/>
        </w:rPr>
        <w:t>法定代表人：</w:t>
      </w:r>
    </w:p>
    <w:p>
      <w:pPr>
        <w:spacing w:line="500" w:lineRule="exact"/>
        <w:rPr>
          <w:rFonts w:ascii="仿宋" w:hAnsi="仿宋" w:eastAsia="仿宋" w:cs="仿宋"/>
          <w:color w:val="auto"/>
          <w:sz w:val="24"/>
        </w:rPr>
      </w:pPr>
      <w:r>
        <w:rPr>
          <w:rFonts w:hint="eastAsia" w:ascii="仿宋" w:hAnsi="仿宋" w:eastAsia="仿宋" w:cs="仿宋"/>
          <w:color w:val="auto"/>
          <w:sz w:val="24"/>
        </w:rPr>
        <w:t>地址：长沙市望城区</w:t>
      </w:r>
      <w:r>
        <w:rPr>
          <w:rFonts w:hint="eastAsia" w:ascii="仿宋" w:hAnsi="仿宋" w:eastAsia="仿宋" w:cs="仿宋"/>
          <w:color w:val="auto"/>
          <w:sz w:val="24"/>
          <w:lang w:eastAsia="zh-CN"/>
        </w:rPr>
        <w:t>月亮岛街道</w:t>
      </w:r>
      <w:r>
        <w:rPr>
          <w:rFonts w:hint="eastAsia" w:ascii="仿宋" w:hAnsi="仿宋" w:eastAsia="仿宋" w:cs="仿宋"/>
          <w:color w:val="auto"/>
          <w:sz w:val="24"/>
        </w:rPr>
        <w:t>银星路</w:t>
      </w:r>
      <w:r>
        <w:rPr>
          <w:rFonts w:hint="eastAsia" w:ascii="仿宋" w:hAnsi="仿宋" w:eastAsia="仿宋" w:cs="仿宋"/>
          <w:color w:val="auto"/>
          <w:sz w:val="24"/>
          <w:lang w:eastAsia="zh-CN"/>
        </w:rPr>
        <w:t>二段</w:t>
      </w:r>
      <w:r>
        <w:rPr>
          <w:rFonts w:hint="eastAsia" w:ascii="仿宋" w:hAnsi="仿宋" w:eastAsia="仿宋" w:cs="仿宋"/>
          <w:color w:val="auto"/>
          <w:sz w:val="24"/>
          <w:lang w:val="en-US" w:eastAsia="zh-CN"/>
        </w:rPr>
        <w:t>599号</w:t>
      </w:r>
      <w:r>
        <w:rPr>
          <w:rFonts w:hint="eastAsia" w:ascii="仿宋" w:hAnsi="仿宋" w:eastAsia="仿宋" w:cs="仿宋"/>
          <w:color w:val="auto"/>
          <w:sz w:val="24"/>
        </w:rPr>
        <w:t>康乃馨</w:t>
      </w:r>
      <w:r>
        <w:rPr>
          <w:rFonts w:hint="eastAsia" w:ascii="仿宋" w:hAnsi="仿宋" w:eastAsia="仿宋" w:cs="仿宋"/>
          <w:color w:val="auto"/>
          <w:sz w:val="24"/>
          <w:lang w:eastAsia="zh-CN"/>
        </w:rPr>
        <w:t>养老</w:t>
      </w:r>
      <w:r>
        <w:rPr>
          <w:rFonts w:hint="eastAsia" w:ascii="仿宋" w:hAnsi="仿宋" w:eastAsia="仿宋" w:cs="仿宋"/>
          <w:color w:val="auto"/>
          <w:sz w:val="24"/>
        </w:rPr>
        <w:t>示范城</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仿宋" w:hAnsi="仿宋" w:eastAsia="仿宋" w:cs="仿宋"/>
          <w:color w:val="auto"/>
          <w:sz w:val="24"/>
        </w:rPr>
      </w:pPr>
      <w:r>
        <w:rPr>
          <w:rFonts w:hint="eastAsia" w:ascii="仿宋" w:hAnsi="仿宋" w:eastAsia="仿宋" w:cs="仿宋"/>
          <w:color w:val="auto"/>
          <w:sz w:val="24"/>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仿宋" w:hAnsi="仿宋" w:eastAsia="仿宋" w:cs="仿宋"/>
          <w:color w:val="auto"/>
          <w:sz w:val="24"/>
        </w:rPr>
      </w:pPr>
      <w:r>
        <w:rPr>
          <w:rFonts w:hint="eastAsia" w:ascii="仿宋" w:hAnsi="仿宋" w:eastAsia="仿宋" w:cs="仿宋"/>
          <w:color w:val="auto"/>
          <w:sz w:val="24"/>
        </w:rPr>
        <w:t>乙方：                       （以下简称乙方）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仿宋" w:hAnsi="仿宋" w:eastAsia="仿宋" w:cs="仿宋"/>
          <w:color w:val="auto"/>
          <w:sz w:val="24"/>
        </w:rPr>
      </w:pPr>
      <w:r>
        <w:rPr>
          <w:rFonts w:hint="eastAsia" w:ascii="仿宋" w:hAnsi="仿宋" w:eastAsia="仿宋" w:cs="仿宋"/>
          <w:color w:val="auto"/>
          <w:sz w:val="24"/>
        </w:rPr>
        <w:t xml:space="preserve">法定代表人：  </w:t>
      </w:r>
    </w:p>
    <w:p>
      <w:pPr>
        <w:pStyle w:val="24"/>
        <w:shd w:val="clear" w:color="auto" w:fill="FFFFFF"/>
        <w:spacing w:before="0" w:beforeAutospacing="0" w:after="0" w:afterAutospacing="0" w:line="500" w:lineRule="exact"/>
        <w:rPr>
          <w:rFonts w:ascii="仿宋" w:hAnsi="仿宋" w:eastAsia="仿宋" w:cs="仿宋"/>
          <w:color w:val="auto"/>
        </w:rPr>
      </w:pPr>
      <w:r>
        <w:rPr>
          <w:rFonts w:hint="eastAsia" w:ascii="仿宋" w:hAnsi="仿宋" w:eastAsia="仿宋" w:cs="仿宋"/>
          <w:color w:val="auto"/>
        </w:rPr>
        <w:t xml:space="preserve">地址：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甲乙双方根据《</w:t>
      </w:r>
      <w:r>
        <w:rPr>
          <w:rFonts w:hint="eastAsia" w:ascii="仿宋" w:hAnsi="仿宋" w:eastAsia="仿宋" w:cs="仿宋"/>
          <w:color w:val="auto"/>
          <w:sz w:val="24"/>
          <w:lang w:eastAsia="zh-CN"/>
        </w:rPr>
        <w:t>民法典</w:t>
      </w:r>
      <w:r>
        <w:rPr>
          <w:rFonts w:hint="eastAsia" w:ascii="仿宋" w:hAnsi="仿宋" w:eastAsia="仿宋" w:cs="仿宋"/>
          <w:color w:val="auto"/>
          <w:sz w:val="24"/>
        </w:rPr>
        <w:t>》、《食品安全法》等法律法规的有关规定,秉承公平、自愿、诚信的合作原则,经充分协商,订立本合同,以资共同遵守。</w:t>
      </w:r>
    </w:p>
    <w:p>
      <w:pPr>
        <w:numPr>
          <w:ilvl w:val="0"/>
          <w:numId w:val="3"/>
        </w:numPr>
        <w:spacing w:line="500" w:lineRule="exact"/>
        <w:ind w:firstLine="482" w:firstLineChars="200"/>
        <w:rPr>
          <w:rFonts w:ascii="仿宋" w:hAnsi="仿宋" w:eastAsia="仿宋" w:cs="仿宋"/>
          <w:b/>
          <w:bCs/>
          <w:color w:val="auto"/>
          <w:sz w:val="24"/>
        </w:rPr>
      </w:pPr>
      <w:bookmarkStart w:id="97" w:name="_Toc5734_WPSOffice_Level1"/>
      <w:r>
        <w:rPr>
          <w:rFonts w:hint="eastAsia" w:ascii="仿宋" w:hAnsi="仿宋" w:eastAsia="仿宋" w:cs="仿宋"/>
          <w:b/>
          <w:bCs/>
          <w:color w:val="auto"/>
          <w:sz w:val="24"/>
        </w:rPr>
        <w:t>项目概况</w:t>
      </w:r>
      <w:bookmarkEnd w:id="97"/>
    </w:p>
    <w:p>
      <w:pPr>
        <w:spacing w:line="420" w:lineRule="exact"/>
        <w:ind w:firstLine="480" w:firstLineChars="200"/>
        <w:rPr>
          <w:rFonts w:ascii="仿宋" w:hAnsi="仿宋" w:eastAsia="仿宋" w:cs="仿宋"/>
          <w:color w:val="auto"/>
          <w:sz w:val="24"/>
        </w:rPr>
      </w:pPr>
      <w:r>
        <w:rPr>
          <w:rFonts w:hint="eastAsia" w:ascii="仿宋" w:hAnsi="仿宋" w:eastAsia="仿宋" w:cs="仿宋"/>
          <w:color w:val="auto"/>
          <w:sz w:val="24"/>
        </w:rPr>
        <w:t>项目地点为:湖南省长沙市望城区银星路康乃馨医院大楼一栋二楼食堂,建筑面积约1</w:t>
      </w:r>
      <w:r>
        <w:rPr>
          <w:rFonts w:hint="eastAsia" w:ascii="仿宋" w:hAnsi="仿宋" w:eastAsia="仿宋" w:cs="仿宋"/>
          <w:color w:val="auto"/>
          <w:sz w:val="24"/>
          <w:lang w:val="en-US" w:eastAsia="zh-CN"/>
        </w:rPr>
        <w:t>20</w:t>
      </w:r>
      <w:r>
        <w:rPr>
          <w:rFonts w:hint="eastAsia" w:ascii="仿宋" w:hAnsi="仿宋" w:eastAsia="仿宋" w:cs="仿宋"/>
          <w:color w:val="auto"/>
          <w:sz w:val="24"/>
        </w:rPr>
        <w:t>0 平方米</w:t>
      </w:r>
      <w:r>
        <w:rPr>
          <w:rFonts w:hint="eastAsia" w:ascii="仿宋" w:hAnsi="仿宋" w:eastAsia="仿宋" w:cs="仿宋"/>
          <w:color w:val="auto"/>
          <w:sz w:val="24"/>
          <w:lang w:eastAsia="zh-CN"/>
        </w:rPr>
        <w:t>（以实际交付面积为准）</w:t>
      </w:r>
      <w:r>
        <w:rPr>
          <w:rFonts w:hint="eastAsia" w:ascii="仿宋" w:hAnsi="仿宋" w:eastAsia="仿宋" w:cs="仿宋"/>
          <w:color w:val="auto"/>
          <w:sz w:val="24"/>
        </w:rPr>
        <w:t>。</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乙方经营管理范围如下:</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(一) 负责食堂的日常营运,自主经营、自负盈亏。负责餐饮服务体系、收费体系、人力资源体系等的建立、完善和管理；</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(二)负责提供餐饮保障和对外餐饮的运营管理；</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(三)负责食堂室内建筑本体所有部位及所有共用设施设备的合理使用和维护管理；</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(四)负责食堂的清洁卫生、垃圾清运、潲水清运；</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(五)负责食堂的安全工作,包括但不限于食品安全、消防安全、人员安全。配合和协助甲方或政府相关部门对食堂进行安全监督和检查；必须自主添置法律法规和相关文件要求添置的物品和完成相关的工作。</w:t>
      </w:r>
    </w:p>
    <w:p>
      <w:pPr>
        <w:spacing w:line="50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(六)乙方所经营的食品必须在品种和定价上符合员工要求,必须符合国家和地方有关食品卫生方面的法律、法规之规定。</w:t>
      </w:r>
    </w:p>
    <w:p>
      <w:pPr>
        <w:pStyle w:val="2"/>
        <w:rPr>
          <w:rFonts w:hint="eastAsia"/>
          <w:lang w:eastAsia="zh-CN"/>
        </w:rPr>
      </w:pPr>
    </w:p>
    <w:p>
      <w:pPr>
        <w:spacing w:line="500" w:lineRule="exact"/>
        <w:ind w:firstLine="480" w:firstLineChars="200"/>
        <w:rPr>
          <w:rFonts w:ascii="仿宋" w:hAnsi="仿宋" w:eastAsia="仿宋" w:cs="仿宋"/>
          <w:b/>
          <w:color w:val="auto"/>
          <w:sz w:val="24"/>
        </w:rPr>
      </w:pPr>
      <w:r>
        <w:rPr>
          <w:rFonts w:hint="eastAsia" w:ascii="仿宋" w:hAnsi="仿宋" w:eastAsia="仿宋" w:cs="仿宋"/>
          <w:color w:val="auto"/>
          <w:sz w:val="24"/>
        </w:rPr>
        <w:t xml:space="preserve">    </w:t>
      </w:r>
      <w:r>
        <w:rPr>
          <w:rFonts w:hint="eastAsia" w:ascii="仿宋" w:hAnsi="仿宋" w:eastAsia="仿宋" w:cs="仿宋"/>
          <w:b/>
          <w:color w:val="auto"/>
          <w:sz w:val="24"/>
        </w:rPr>
        <w:t>二、合同期限</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本合同期限</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5</w:t>
      </w:r>
      <w:r>
        <w:rPr>
          <w:rFonts w:hint="eastAsia" w:ascii="仿宋" w:hAnsi="仿宋" w:eastAsia="仿宋" w:cs="仿宋"/>
          <w:color w:val="auto"/>
          <w:sz w:val="24"/>
        </w:rPr>
        <w:t>年，自</w:t>
      </w:r>
      <w:r>
        <w:rPr>
          <w:rFonts w:hint="eastAsia" w:ascii="仿宋" w:hAnsi="仿宋" w:eastAsia="仿宋" w:cs="仿宋"/>
          <w:color w:val="auto"/>
          <w:sz w:val="24"/>
          <w:u w:val="single"/>
        </w:rPr>
        <w:t>202</w:t>
      </w:r>
      <w:r>
        <w:rPr>
          <w:rFonts w:hint="eastAsia" w:ascii="仿宋" w:hAnsi="仿宋" w:eastAsia="仿宋" w:cs="仿宋"/>
          <w:color w:val="auto"/>
          <w:sz w:val="24"/>
          <w:u w:val="single"/>
          <w:lang w:val="en-US" w:eastAsia="zh-CN"/>
        </w:rPr>
        <w:t>2</w:t>
      </w:r>
      <w:r>
        <w:rPr>
          <w:rFonts w:hint="eastAsia" w:ascii="仿宋" w:hAnsi="仿宋" w:eastAsia="仿宋" w:cs="仿宋"/>
          <w:color w:val="auto"/>
          <w:sz w:val="24"/>
          <w:u w:val="single"/>
        </w:rPr>
        <w:t>年</w:t>
      </w:r>
      <w:r>
        <w:rPr>
          <w:rFonts w:hint="eastAsia" w:ascii="仿宋" w:hAnsi="仿宋" w:eastAsia="仿宋" w:cs="仿宋"/>
          <w:color w:val="auto"/>
          <w:sz w:val="24"/>
          <w:u w:val="single"/>
          <w:lang w:val="en-US" w:eastAsia="zh-CN"/>
        </w:rPr>
        <w:t>3</w:t>
      </w:r>
      <w:r>
        <w:rPr>
          <w:rFonts w:hint="eastAsia" w:ascii="仿宋" w:hAnsi="仿宋" w:eastAsia="仿宋" w:cs="仿宋"/>
          <w:color w:val="auto"/>
          <w:sz w:val="24"/>
          <w:u w:val="single"/>
        </w:rPr>
        <w:t>月1日</w:t>
      </w:r>
      <w:r>
        <w:rPr>
          <w:rFonts w:hint="eastAsia" w:ascii="仿宋" w:hAnsi="仿宋" w:eastAsia="仿宋" w:cs="仿宋"/>
          <w:color w:val="auto"/>
          <w:sz w:val="24"/>
        </w:rPr>
        <w:t>起至</w:t>
      </w:r>
      <w:r>
        <w:rPr>
          <w:rFonts w:hint="eastAsia" w:ascii="仿宋" w:hAnsi="仿宋" w:eastAsia="仿宋" w:cs="仿宋"/>
          <w:color w:val="auto"/>
          <w:sz w:val="24"/>
          <w:u w:val="single"/>
        </w:rPr>
        <w:t>202</w:t>
      </w:r>
      <w:r>
        <w:rPr>
          <w:rFonts w:hint="eastAsia" w:ascii="仿宋" w:hAnsi="仿宋" w:eastAsia="仿宋" w:cs="仿宋"/>
          <w:color w:val="auto"/>
          <w:sz w:val="24"/>
          <w:u w:val="single"/>
          <w:lang w:val="en-US" w:eastAsia="zh-CN"/>
        </w:rPr>
        <w:t>7</w:t>
      </w:r>
      <w:r>
        <w:rPr>
          <w:rFonts w:hint="eastAsia" w:ascii="仿宋" w:hAnsi="仿宋" w:eastAsia="仿宋" w:cs="仿宋"/>
          <w:color w:val="auto"/>
          <w:sz w:val="24"/>
          <w:u w:val="single"/>
        </w:rPr>
        <w:t>年</w:t>
      </w:r>
      <w:r>
        <w:rPr>
          <w:rFonts w:hint="eastAsia" w:ascii="仿宋" w:hAnsi="仿宋" w:eastAsia="仿宋" w:cs="仿宋"/>
          <w:color w:val="auto"/>
          <w:sz w:val="24"/>
          <w:u w:val="single"/>
          <w:lang w:val="en-US" w:eastAsia="zh-CN"/>
        </w:rPr>
        <w:t>2</w:t>
      </w:r>
      <w:r>
        <w:rPr>
          <w:rFonts w:hint="eastAsia" w:ascii="仿宋" w:hAnsi="仿宋" w:eastAsia="仿宋" w:cs="仿宋"/>
          <w:color w:val="auto"/>
          <w:sz w:val="24"/>
          <w:u w:val="single"/>
        </w:rPr>
        <w:t>月</w:t>
      </w:r>
      <w:r>
        <w:rPr>
          <w:rFonts w:hint="eastAsia" w:ascii="仿宋" w:hAnsi="仿宋" w:eastAsia="仿宋" w:cs="仿宋"/>
          <w:color w:val="auto"/>
          <w:sz w:val="24"/>
          <w:u w:val="single"/>
          <w:lang w:val="en-US" w:eastAsia="zh-CN"/>
        </w:rPr>
        <w:t>28</w:t>
      </w:r>
      <w:r>
        <w:rPr>
          <w:rFonts w:hint="eastAsia" w:ascii="仿宋" w:hAnsi="仿宋" w:eastAsia="仿宋" w:cs="仿宋"/>
          <w:color w:val="auto"/>
          <w:sz w:val="24"/>
          <w:u w:val="single"/>
        </w:rPr>
        <w:t>日</w:t>
      </w:r>
      <w:r>
        <w:rPr>
          <w:rFonts w:hint="eastAsia" w:ascii="仿宋" w:hAnsi="仿宋" w:eastAsia="仿宋" w:cs="仿宋"/>
          <w:color w:val="auto"/>
          <w:sz w:val="24"/>
        </w:rPr>
        <w:t>止。</w:t>
      </w:r>
    </w:p>
    <w:p>
      <w:pPr>
        <w:spacing w:line="50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三、场地、经营方式、服务要求、考核标准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（一）甲方将位于一栋二楼的食堂（含厨房、餐厅、现有厨房设备、餐具等）（清单以现场为准）承包给乙方经营管理，乙方不得改变场地用途。</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（二）甲乙双方对所有设施、设备和用具在甲方将场地和设备等移交给乙方前进行清点，合同期内由乙方负责整个食堂设施、设备的维护，费用由乙方承担。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1.服务期内，因乙方原因造成原有设备损坏或遗失，乙方应承担相应的赔偿责任，赔偿责任按资产相应折旧年限的剩余年限计算（固定资产按五年折旧</w:t>
      </w:r>
      <w:r>
        <w:rPr>
          <w:rFonts w:hint="eastAsia" w:ascii="仿宋" w:hAnsi="仿宋" w:eastAsia="仿宋" w:cs="仿宋"/>
          <w:color w:val="auto"/>
          <w:sz w:val="24"/>
          <w:lang w:eastAsia="zh-CN"/>
        </w:rPr>
        <w:t>，</w:t>
      </w:r>
      <w:r>
        <w:rPr>
          <w:rFonts w:hint="eastAsia" w:ascii="仿宋" w:hAnsi="仿宋" w:eastAsia="仿宋" w:cs="仿宋"/>
          <w:color w:val="auto"/>
          <w:sz w:val="24"/>
        </w:rPr>
        <w:t>其他设备按三年折旧）；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2.如因经营需要添置移动设备的，由乙方自行负责，所产生的费用由乙方自行承担；</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3.乙方自行添置固定设备，需使用建筑物或与建筑物形成附合的，需经甲方书面同意，若未经甲方书面同意便安装添置装备的，甲方有权拆除该设备，由此产生的拆除费用由乙方承担；</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4.若建筑物本身有瑕疵影响经营，由甲方负责修复，甲方承担费用；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5.</w:t>
      </w:r>
      <w:r>
        <w:rPr>
          <w:rFonts w:hint="eastAsia" w:ascii="仿宋" w:hAnsi="仿宋" w:eastAsia="仿宋" w:cs="仿宋"/>
          <w:color w:val="auto"/>
          <w:sz w:val="24"/>
          <w:lang w:eastAsia="zh-CN"/>
        </w:rPr>
        <w:t>乙方签定合同后，必须在不影响食堂正常就餐的情况下，按投标时提交的改造方案及图纸</w:t>
      </w:r>
      <w:r>
        <w:rPr>
          <w:rFonts w:hint="eastAsia" w:ascii="仿宋" w:hAnsi="仿宋" w:eastAsia="仿宋" w:cs="仿宋"/>
          <w:color w:val="auto"/>
          <w:sz w:val="24"/>
        </w:rPr>
        <w:t>经甲方书面</w:t>
      </w:r>
      <w:r>
        <w:rPr>
          <w:rFonts w:hint="eastAsia" w:ascii="仿宋" w:hAnsi="仿宋" w:eastAsia="仿宋" w:cs="仿宋"/>
          <w:color w:val="auto"/>
          <w:sz w:val="24"/>
          <w:lang w:eastAsia="zh-CN"/>
        </w:rPr>
        <w:t>签字</w:t>
      </w:r>
      <w:r>
        <w:rPr>
          <w:rFonts w:hint="eastAsia" w:ascii="仿宋" w:hAnsi="仿宋" w:eastAsia="仿宋" w:cs="仿宋"/>
          <w:color w:val="auto"/>
          <w:sz w:val="24"/>
        </w:rPr>
        <w:t>同意</w:t>
      </w:r>
      <w:r>
        <w:rPr>
          <w:rFonts w:hint="eastAsia" w:ascii="仿宋" w:hAnsi="仿宋" w:eastAsia="仿宋" w:cs="仿宋"/>
          <w:color w:val="auto"/>
          <w:sz w:val="24"/>
          <w:lang w:eastAsia="zh-CN"/>
        </w:rPr>
        <w:t>后进行施工改造，至合同签定日保证</w:t>
      </w:r>
      <w:r>
        <w:rPr>
          <w:rFonts w:hint="eastAsia" w:ascii="仿宋" w:hAnsi="仿宋" w:eastAsia="仿宋" w:cs="仿宋"/>
          <w:color w:val="auto"/>
          <w:sz w:val="24"/>
          <w:lang w:val="en-US" w:eastAsia="zh-CN"/>
        </w:rPr>
        <w:t xml:space="preserve"> 60天全部完成，</w:t>
      </w:r>
      <w:r>
        <w:rPr>
          <w:rFonts w:hint="eastAsia" w:ascii="仿宋" w:hAnsi="仿宋" w:eastAsia="仿宋" w:cs="仿宋"/>
          <w:color w:val="auto"/>
          <w:sz w:val="24"/>
          <w:lang w:eastAsia="zh-CN"/>
        </w:rPr>
        <w:t>所有施工改造费用，安全责任归乙方负责，甲方不承担任何费用。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lang w:val="en-US" w:eastAsia="zh-CN"/>
        </w:rPr>
        <w:t>6.</w:t>
      </w:r>
      <w:r>
        <w:rPr>
          <w:rFonts w:hint="eastAsia" w:ascii="仿宋" w:hAnsi="仿宋" w:eastAsia="仿宋" w:cs="仿宋"/>
          <w:color w:val="auto"/>
          <w:sz w:val="24"/>
        </w:rPr>
        <w:t>合同期内如乙方因经营需要进行投资装修改造，必须经甲方书面同意，否则甲方有权要求乙方恢复原貌或赔偿损失。</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三）乙方自行采购、加工，自负盈亏。乙方自行承担在经营当中所产生的一切费用，包含但不限于原材料费用、员工工资、水费、电费、煤气费、管理服务费等。乙方本次中标后需为甲方提供员工餐具，餐具包括餐盘、餐碗、筷子等，餐具的材质款式颜色等由甲方确定，甲方员工的餐具需与外来人员（包括病患、养老人员等）区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四）乙方自行招聘、培训和安排员工作息，并负责员工工资、福利、食宿等等。乙方员工与甲方不存在劳动关系。如乙方员工与乙方发生劳动纠纷，均由乙方承担一切责任。若因此导致劳动者向甲方主张权利的，甲方所支出的一切费用均有权要求乙方承担，包括但不限于甲方为维护自身权利而支出的律师费、诉讼费、向劳动者支付的费用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（五）服务要求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1、安全：按照《食品安全法》和(食品流通许可证管理办法》，严把食品市场主体准入关，须确保食物原材、副食品和日用商品来源有正规进货渠道，供应商证照齐金（餐饮行业经营许可证、卫生许可证、税务登记证、公司注册证），乙方必须按照国家有关规定健立健全《食堂餐饮安全管理度》等相关制度，并交甲方备案后严格执行。乙方每餐必须对每个食品种留样48小时待检。乙方必须避守国家和地方有关环境和食品卫生的标准，严禁供应腐烂变质的食品，保持菜肴的新鲜和卫生。</w:t>
      </w:r>
    </w:p>
    <w:p>
      <w:pPr>
        <w:numPr>
          <w:ilvl w:val="0"/>
          <w:numId w:val="4"/>
        </w:num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乙方承包经营的食堂所发生的任何安全事故（包含但不仅限于食堂安全、消防安全、人身安全），均由乙方承担一切经济责任和法律责任，甲方不承担任何连带责任。</w:t>
      </w:r>
    </w:p>
    <w:p>
      <w:pPr>
        <w:numPr>
          <w:ilvl w:val="255"/>
          <w:numId w:val="0"/>
        </w:num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3.乙方应在食堂公布菜品和价格，所有菜品及价格需得到</w:t>
      </w:r>
      <w:r>
        <w:rPr>
          <w:rFonts w:hint="eastAsia" w:ascii="仿宋" w:hAnsi="仿宋" w:eastAsia="仿宋" w:cs="仿宋"/>
          <w:color w:val="auto"/>
          <w:sz w:val="24"/>
          <w:lang w:eastAsia="zh-CN"/>
        </w:rPr>
        <w:t>甲</w:t>
      </w:r>
      <w:r>
        <w:rPr>
          <w:rFonts w:hint="eastAsia" w:ascii="仿宋" w:hAnsi="仿宋" w:eastAsia="仿宋" w:cs="仿宋"/>
          <w:color w:val="auto"/>
          <w:sz w:val="24"/>
        </w:rPr>
        <w:t>方许可后方能实施，未经许可</w:t>
      </w:r>
      <w:r>
        <w:rPr>
          <w:rFonts w:hint="eastAsia" w:ascii="仿宋" w:hAnsi="仿宋" w:eastAsia="仿宋" w:cs="仿宋"/>
          <w:color w:val="auto"/>
          <w:sz w:val="24"/>
          <w:lang w:eastAsia="zh-CN"/>
        </w:rPr>
        <w:t>乙方</w:t>
      </w:r>
      <w:r>
        <w:rPr>
          <w:rFonts w:hint="eastAsia" w:ascii="仿宋" w:hAnsi="仿宋" w:eastAsia="仿宋" w:cs="仿宋"/>
          <w:color w:val="auto"/>
          <w:sz w:val="24"/>
        </w:rPr>
        <w:t>不得擅自调整价格。</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4.允许食堂设置小卖部，零售商品张贴价目表。零售商品为质量合格的商品，零售价格不得高于市场</w:t>
      </w:r>
      <w:r>
        <w:rPr>
          <w:rFonts w:hint="eastAsia" w:ascii="仿宋" w:hAnsi="仿宋" w:eastAsia="仿宋" w:cs="仿宋"/>
          <w:color w:val="auto"/>
          <w:sz w:val="24"/>
          <w:lang w:eastAsia="zh-CN"/>
        </w:rPr>
        <w:t>零售</w:t>
      </w:r>
      <w:r>
        <w:rPr>
          <w:rFonts w:hint="eastAsia" w:ascii="仿宋" w:hAnsi="仿宋" w:eastAsia="仿宋" w:cs="仿宋"/>
          <w:color w:val="auto"/>
          <w:sz w:val="24"/>
        </w:rPr>
        <w:t>价格。</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5、营养：搭配合理、营养均衡；对有特殊饮食要求的病人，尽可能精心制作适合病人恢复健康的膳食，调配营养丰富的流汁、半流汁食品。</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6、送餐：成立配送中心，提供订、送餐服务。</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7、餐费价格：实行明码标价，自主选择，不得高于周边餐饮行业餐价。中、晚餐不得少于12种主菜品，另外配6种副菜如调味菜、汤、粥、酸菜等。可单独点菜。须提供夜宵送餐服务。乙方提升餐厅</w:t>
      </w:r>
      <w:r>
        <w:rPr>
          <w:rFonts w:hint="eastAsia" w:ascii="仿宋" w:hAnsi="仿宋" w:eastAsia="仿宋" w:cs="仿宋"/>
          <w:color w:val="auto"/>
          <w:sz w:val="24"/>
          <w:lang w:eastAsia="zh-CN"/>
        </w:rPr>
        <w:t>用餐</w:t>
      </w:r>
      <w:r>
        <w:rPr>
          <w:rFonts w:hint="eastAsia" w:ascii="仿宋" w:hAnsi="仿宋" w:eastAsia="仿宋" w:cs="仿宋"/>
          <w:color w:val="auto"/>
          <w:sz w:val="24"/>
        </w:rPr>
        <w:t>价格须通过甲方的同意方可提升。</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8、供餐、送餐时间：（周一至周日）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早</w:t>
      </w:r>
      <w:r>
        <w:rPr>
          <w:rFonts w:hint="eastAsia" w:ascii="仿宋" w:hAnsi="仿宋" w:eastAsia="仿宋" w:cs="仿宋"/>
          <w:color w:val="auto"/>
          <w:sz w:val="24"/>
          <w:lang w:eastAsia="zh-CN"/>
        </w:rPr>
        <w:t>餐</w:t>
      </w:r>
      <w:r>
        <w:rPr>
          <w:rFonts w:hint="eastAsia" w:ascii="仿宋" w:hAnsi="仿宋" w:eastAsia="仿宋" w:cs="仿宋"/>
          <w:color w:val="auto"/>
          <w:sz w:val="24"/>
        </w:rPr>
        <w:t>:7:00～9:30</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中餐:11:0～13:00</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晚餐:17:00～19:00</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甲方可根据工作需要，向乙方提出变更供餐时间。送餐时间:早中晚正餐送餐可在开餐时间提前半小时内送至病房，夜宵按预约要求由配餐员送病房。</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9、物资采购：乙方必须到合法经营单位采购。蔬菜来源要确保无污染，符合食品卫生的有关规定，所有蔬菜均需浸泡、清洗、消毒；肉食类原料须由符合行业合格标准的生产厂家提供，须有防疫检测证明。粮油、干货和调味科有保质期、生产厂家、标签和合格证，保证不过期、优质、无霉变。物资采购须保存采购凭证（凭证保留120天），以备检查，如在稽查过程中乙方无法提供采购凭证或提供虚假凭证则视同不合格采购。</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10、卫生标准：严格按照《中华人民共和国食品卫生法》、(食品安全法》、《中华人共和环境保护法》，中华人民共和国卫生部《餐饮业卫生管理办法》及甲方有关定执行，乙方必须做好餐具清洁和消毒，维护经营环境和设施卫生。</w:t>
      </w:r>
    </w:p>
    <w:p>
      <w:pPr>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11、食堂考核管理：甲方对乙方的经营行为进行现场监督，包括对食堂饭菜、汤饮的质量、价格及服务质量和食堂内外清洁卫生、餐具消毒、环境维护监督、考核</w:t>
      </w:r>
      <w:r>
        <w:rPr>
          <w:rFonts w:hint="eastAsia" w:ascii="仿宋" w:hAnsi="仿宋" w:eastAsia="仿宋" w:cs="仿宋"/>
          <w:color w:val="auto"/>
          <w:sz w:val="24"/>
          <w:lang w:eastAsia="zh-CN"/>
        </w:rPr>
        <w:t>等</w:t>
      </w:r>
      <w:r>
        <w:rPr>
          <w:rFonts w:hint="eastAsia" w:ascii="仿宋" w:hAnsi="仿宋" w:eastAsia="仿宋" w:cs="仿宋"/>
          <w:color w:val="auto"/>
          <w:sz w:val="24"/>
        </w:rPr>
        <w:t>（详见附件1：食堂考核标准），并提出整改和处理意见，乙方须配合甲方，听取意见，不断改进工作。乙方对甲方提出的整改和处理意见必须在3个工作日内给予书面回复。</w:t>
      </w:r>
    </w:p>
    <w:p>
      <w:pPr>
        <w:spacing w:line="420" w:lineRule="exact"/>
        <w:ind w:firstLine="480" w:firstLineChars="200"/>
        <w:rPr>
          <w:rFonts w:hint="eastAsia" w:ascii="仿宋" w:hAnsi="仿宋" w:eastAsia="仿宋" w:cs="仿宋"/>
          <w:color w:val="auto"/>
          <w:sz w:val="24"/>
        </w:rPr>
      </w:pPr>
      <w:r>
        <w:rPr>
          <w:rFonts w:hint="eastAsia" w:ascii="仿宋" w:hAnsi="仿宋" w:eastAsia="仿宋" w:cs="仿宋"/>
          <w:b w:val="0"/>
          <w:bCs w:val="0"/>
          <w:color w:val="auto"/>
          <w:sz w:val="24"/>
          <w:lang w:val="en-US" w:eastAsia="zh-CN"/>
        </w:rPr>
        <w:t>公司综合管理部牵头每季度将组织相关人员对食堂的卫生状况、饭菜质量、服务态度、饭菜价格及食堂管理等方面进行综合考核评分，最终考核评分以每季度得分平均值为准，公司将按照得分情况对项目承包方进行租金返还，具体标准为：考评得分95分（含）以上者公司将全额返还项目年租金，公司并给予2万元奖励；考评得分95分-85分（含）以上者公司将全额返还项目年租金；考评得分85分-75分（含）以上者公司将按80%返还项目年租金；考评得分75分-65分（含）以上者公司将按70%返还项目年租金；考评得分65分-60分（含）以上者公司将按60%返还项目年租金；</w:t>
      </w:r>
      <w:r>
        <w:rPr>
          <w:rFonts w:hint="eastAsia" w:ascii="仿宋" w:hAnsi="仿宋" w:eastAsia="仿宋" w:cs="仿宋"/>
          <w:color w:val="auto"/>
          <w:sz w:val="24"/>
          <w:lang w:bidi="ar"/>
        </w:rPr>
        <w:t>连续两个季度低于</w:t>
      </w:r>
      <w:r>
        <w:rPr>
          <w:rFonts w:hint="eastAsia" w:ascii="仿宋" w:hAnsi="仿宋" w:eastAsia="仿宋" w:cs="仿宋"/>
          <w:color w:val="auto"/>
          <w:sz w:val="24"/>
        </w:rPr>
        <w:t>60</w:t>
      </w:r>
      <w:r>
        <w:rPr>
          <w:rFonts w:hint="eastAsia" w:ascii="仿宋" w:hAnsi="仿宋" w:eastAsia="仿宋" w:cs="仿宋"/>
          <w:color w:val="auto"/>
          <w:sz w:val="24"/>
          <w:lang w:eastAsia="zh-CN"/>
        </w:rPr>
        <w:t>分</w:t>
      </w:r>
      <w:r>
        <w:rPr>
          <w:rFonts w:hint="eastAsia" w:ascii="仿宋" w:hAnsi="仿宋" w:eastAsia="仿宋" w:cs="仿宋"/>
          <w:color w:val="auto"/>
          <w:sz w:val="24"/>
        </w:rPr>
        <w:t>以下者，</w:t>
      </w:r>
      <w:r>
        <w:rPr>
          <w:rFonts w:hint="eastAsia" w:ascii="仿宋" w:hAnsi="仿宋" w:eastAsia="仿宋" w:cs="仿宋"/>
          <w:color w:val="auto"/>
          <w:sz w:val="24"/>
          <w:lang w:eastAsia="zh-CN"/>
        </w:rPr>
        <w:t>公司</w:t>
      </w:r>
      <w:r>
        <w:rPr>
          <w:rFonts w:hint="eastAsia" w:ascii="仿宋" w:hAnsi="仿宋" w:eastAsia="仿宋" w:cs="仿宋"/>
          <w:color w:val="auto"/>
          <w:sz w:val="24"/>
        </w:rPr>
        <w:t>有权提前终止合作关系并不退还</w:t>
      </w:r>
      <w:r>
        <w:rPr>
          <w:rFonts w:hint="eastAsia" w:ascii="仿宋" w:hAnsi="仿宋" w:eastAsia="仿宋" w:cs="仿宋"/>
          <w:color w:val="auto"/>
          <w:sz w:val="24"/>
          <w:lang w:eastAsia="zh-CN"/>
        </w:rPr>
        <w:t>项目年租金和</w:t>
      </w:r>
      <w:r>
        <w:rPr>
          <w:rFonts w:hint="eastAsia" w:ascii="仿宋" w:hAnsi="仿宋" w:eastAsia="仿宋" w:cs="仿宋"/>
          <w:color w:val="auto"/>
          <w:sz w:val="24"/>
        </w:rPr>
        <w:t>履约保证金。</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0" w:firstLineChars="0"/>
        <w:rPr>
          <w:rFonts w:ascii="仿宋" w:hAnsi="仿宋" w:eastAsia="仿宋" w:cs="仿宋"/>
          <w:b/>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b/>
          <w:color w:val="auto"/>
          <w:sz w:val="24"/>
        </w:rPr>
        <w:t>四、费用及支付</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（一）乙方从合同生效日起计算</w:t>
      </w:r>
      <w:r>
        <w:rPr>
          <w:rFonts w:hint="eastAsia" w:ascii="仿宋" w:hAnsi="仿宋" w:eastAsia="仿宋" w:cs="仿宋"/>
          <w:color w:val="auto"/>
          <w:sz w:val="24"/>
          <w:lang w:eastAsia="zh-CN"/>
        </w:rPr>
        <w:t>，</w:t>
      </w:r>
      <w:r>
        <w:rPr>
          <w:rFonts w:hint="eastAsia" w:ascii="仿宋" w:hAnsi="仿宋" w:eastAsia="仿宋" w:cs="仿宋"/>
          <w:color w:val="auto"/>
          <w:sz w:val="24"/>
        </w:rPr>
        <w:t>租赁期限</w:t>
      </w:r>
      <w:r>
        <w:rPr>
          <w:rFonts w:hint="eastAsia" w:ascii="仿宋" w:hAnsi="仿宋" w:eastAsia="仿宋" w:cs="仿宋"/>
          <w:color w:val="auto"/>
          <w:sz w:val="24"/>
          <w:lang w:val="en-US" w:eastAsia="zh-CN"/>
        </w:rPr>
        <w:t>5</w:t>
      </w:r>
      <w:r>
        <w:rPr>
          <w:rFonts w:hint="eastAsia" w:ascii="仿宋" w:hAnsi="仿宋" w:eastAsia="仿宋" w:cs="仿宋"/>
          <w:color w:val="auto"/>
          <w:sz w:val="24"/>
        </w:rPr>
        <w:t>年。</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二）乙方应于本合同正式签订前向甲方一次性缴纳合同保证金贰拾万元整（¥200，000.00）。若因乙方的原因导致的甲方解除或终止合同或乙方无故提前终止合同的，甲方有权保留该合同保证金作为违约金，若合同自然终止，且乙方不存在违约赔偿责任，甲方将于合同终止后两个月内将该合同保证金全部无息退还。</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三）物业管理服务费目前3.2元/平方米，如有调整则按相关政策调整。水目前4.34元/吨；电目前0.85元/度（按水力、电力公司价格变动收取），空调费2000元/月,开放6个月,共12000元/年，AP六个点800元/年，由乙方承担。水电费用根据实际使用按月交纳，其他费用按月预交。经营中所产生的其他一切费用，包含但不限于原材料费用、员工工资、煤燃气费及行业相关办证资质、年检等，均由乙方承担。</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四）乙方负责对餐饮区域的空间装修、厨房设备（基本设备）、餐桌椅及烟道、后厨的土建装修、排水。需改动建筑物或可能对建筑物造成影响的环境改造和设备设施添置必须报经甲方同意后才能执行，费用乙方承担。</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五）乙方固定资产投入（不含设备）按照5年直线折旧法进行折旧（第一年折旧25%、第二年折旧25%、第三年折旧25%、第四年折旧15%，第五年折旧10%），5年承包期后，所有固定资产归甲方所有，甲方不对乙方进行任何补偿。</w:t>
      </w:r>
    </w:p>
    <w:p>
      <w:pPr>
        <w:tabs>
          <w:tab w:val="left" w:pos="916"/>
          <w:tab w:val="left" w:pos="1832"/>
          <w:tab w:val="left" w:pos="2748"/>
          <w:tab w:val="left" w:pos="3664"/>
          <w:tab w:val="left" w:pos="4580"/>
          <w:tab w:val="left" w:pos="4770"/>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65"/>
        <w:rPr>
          <w:rFonts w:hint="eastAsia" w:ascii="仿宋" w:hAnsi="仿宋" w:eastAsia="仿宋" w:cs="仿宋"/>
          <w:color w:val="auto"/>
          <w:sz w:val="24"/>
          <w:szCs w:val="24"/>
        </w:rPr>
      </w:pPr>
      <w:r>
        <w:rPr>
          <w:rFonts w:hint="eastAsia" w:ascii="仿宋" w:hAnsi="仿宋" w:eastAsia="仿宋" w:cs="仿宋"/>
          <w:color w:val="auto"/>
          <w:sz w:val="24"/>
        </w:rPr>
        <w:t>（六）</w:t>
      </w:r>
      <w:r>
        <w:rPr>
          <w:rFonts w:hint="eastAsia" w:ascii="仿宋" w:hAnsi="仿宋" w:eastAsia="仿宋" w:cs="仿宋"/>
          <w:color w:val="auto"/>
          <w:sz w:val="24"/>
          <w:szCs w:val="24"/>
        </w:rPr>
        <w:t>甲方员工可自由选择老二栋的营养餐厅或乙方食堂</w:t>
      </w:r>
      <w:r>
        <w:rPr>
          <w:rFonts w:hint="eastAsia" w:ascii="仿宋" w:hAnsi="仿宋" w:eastAsia="仿宋" w:cs="仿宋"/>
          <w:color w:val="auto"/>
          <w:sz w:val="24"/>
          <w:szCs w:val="24"/>
          <w:lang w:eastAsia="zh-CN"/>
        </w:rPr>
        <w:t>充卡</w:t>
      </w:r>
      <w:r>
        <w:rPr>
          <w:rFonts w:hint="eastAsia" w:ascii="仿宋" w:hAnsi="仿宋" w:eastAsia="仿宋" w:cs="仿宋"/>
          <w:color w:val="auto"/>
          <w:sz w:val="24"/>
          <w:szCs w:val="24"/>
        </w:rPr>
        <w:t>。</w:t>
      </w:r>
      <w:r>
        <w:rPr>
          <w:rFonts w:hint="eastAsia" w:ascii="仿宋" w:hAnsi="仿宋" w:eastAsia="仿宋" w:cs="仿宋"/>
          <w:color w:val="auto"/>
          <w:sz w:val="24"/>
        </w:rPr>
        <w:t>每月</w:t>
      </w:r>
      <w:r>
        <w:rPr>
          <w:rFonts w:hint="eastAsia" w:ascii="仿宋" w:hAnsi="仿宋" w:eastAsia="仿宋" w:cs="仿宋"/>
          <w:color w:val="auto"/>
          <w:sz w:val="24"/>
          <w:lang w:eastAsia="zh-CN"/>
        </w:rPr>
        <w:t>按提供</w:t>
      </w:r>
      <w:r>
        <w:rPr>
          <w:rFonts w:hint="eastAsia" w:ascii="仿宋" w:hAnsi="仿宋" w:eastAsia="仿宋" w:cs="仿宋"/>
          <w:color w:val="auto"/>
          <w:sz w:val="24"/>
        </w:rPr>
        <w:t>充卡名单中的实际签名人数，计算每月餐费</w:t>
      </w:r>
      <w:r>
        <w:rPr>
          <w:rFonts w:hint="eastAsia" w:ascii="仿宋" w:hAnsi="仿宋" w:eastAsia="仿宋" w:cs="仿宋"/>
          <w:color w:val="auto"/>
          <w:sz w:val="24"/>
          <w:lang w:eastAsia="zh-CN"/>
        </w:rPr>
        <w:t>，</w:t>
      </w:r>
      <w:r>
        <w:rPr>
          <w:rFonts w:hint="eastAsia" w:ascii="仿宋" w:hAnsi="仿宋" w:eastAsia="仿宋" w:cs="仿宋"/>
          <w:color w:val="auto"/>
          <w:sz w:val="24"/>
          <w:szCs w:val="24"/>
        </w:rPr>
        <w:t>双方核对完成后的10个工作日内以转账、现金或支票付给乙方。甲方每次付款5日前，乙方应提供等额有效的增值税普通发票或增值专用发票给甲方（按甲方需求），否则，甲方有权暂停支付，由此造成的损失，均由乙方自行承担</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（七）乙方食堂在运营过程中消耗的水费、电费、燃气费用由乙方按实际耗费金额每月5日前向甲方指定账号缴纳。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（八）甲方员工卡内当月未消费完的金额不清零，可以累积到下月使用。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（九）甲方账户资料</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甲方开户名 湖南康乃馨养老产业投资置业有限公司</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甲方开户银行：中国建设银行长沙东塘支行</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甲方账号： 4300 1741 6610 5250 2971</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65"/>
        <w:rPr>
          <w:rFonts w:ascii="仿宋" w:hAnsi="仿宋" w:eastAsia="仿宋" w:cs="仿宋"/>
          <w:color w:val="auto"/>
          <w:sz w:val="24"/>
        </w:rPr>
      </w:pPr>
      <w:r>
        <w:rPr>
          <w:rFonts w:hint="eastAsia" w:ascii="仿宋" w:hAnsi="仿宋" w:eastAsia="仿宋" w:cs="仿宋"/>
          <w:color w:val="auto"/>
          <w:sz w:val="24"/>
        </w:rPr>
        <w:t>（十）乙方账户资料</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65"/>
        <w:rPr>
          <w:rFonts w:ascii="仿宋" w:hAnsi="仿宋" w:eastAsia="仿宋" w:cs="仿宋"/>
          <w:color w:val="auto"/>
          <w:sz w:val="24"/>
        </w:rPr>
      </w:pPr>
      <w:r>
        <w:rPr>
          <w:rFonts w:hint="eastAsia" w:ascii="仿宋" w:hAnsi="仿宋" w:eastAsia="仿宋" w:cs="仿宋"/>
          <w:color w:val="auto"/>
          <w:sz w:val="24"/>
        </w:rPr>
        <w:t xml:space="preserve">乙方开户名：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65"/>
        <w:rPr>
          <w:rFonts w:ascii="仿宋" w:hAnsi="仿宋" w:eastAsia="仿宋" w:cs="仿宋"/>
          <w:color w:val="auto"/>
          <w:sz w:val="24"/>
        </w:rPr>
      </w:pPr>
      <w:r>
        <w:rPr>
          <w:rFonts w:hint="eastAsia" w:ascii="仿宋" w:hAnsi="仿宋" w:eastAsia="仿宋" w:cs="仿宋"/>
          <w:color w:val="auto"/>
          <w:sz w:val="24"/>
        </w:rPr>
        <w:t xml:space="preserve">乙方开户行：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0" w:firstLineChars="0"/>
        <w:rPr>
          <w:rFonts w:asciiTheme="minorHAnsi" w:hAnsiTheme="minorHAnsi" w:eastAsiaTheme="minorEastAsia" w:cstheme="minorBidi"/>
          <w:color w:val="auto"/>
          <w:sz w:val="21"/>
        </w:rPr>
      </w:pPr>
      <w:r>
        <w:rPr>
          <w:rFonts w:hint="eastAsia" w:ascii="仿宋" w:hAnsi="仿宋" w:eastAsia="仿宋" w:cs="仿宋"/>
          <w:color w:val="auto"/>
          <w:sz w:val="24"/>
        </w:rPr>
        <w:t>乙方账号：</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五、其它</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1. 不得使用地沟油和转基因油。</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2. 不得出现腐坏食物。</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3．不得出现食物中毒情况。</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4. 必须服从甲方管理。</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5. 乙方不得擅自将食堂转包给第三者，否则招标方有权没收合同履约保证金作为违约金。</w:t>
      </w:r>
    </w:p>
    <w:p>
      <w:pPr>
        <w:spacing w:line="420" w:lineRule="exact"/>
        <w:ind w:firstLine="555"/>
        <w:rPr>
          <w:rFonts w:ascii="仿宋" w:hAnsi="仿宋" w:eastAsia="仿宋" w:cs="仿宋"/>
          <w:color w:val="auto"/>
          <w:sz w:val="24"/>
        </w:rPr>
      </w:pPr>
      <w:r>
        <w:rPr>
          <w:rFonts w:hint="eastAsia" w:ascii="仿宋" w:hAnsi="仿宋" w:eastAsia="仿宋" w:cs="仿宋"/>
          <w:color w:val="auto"/>
          <w:sz w:val="24"/>
        </w:rPr>
        <w:t>6.必须自主添置法律法规和相关文件要求添置的物品和完成相关的工作。</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bCs/>
          <w:color w:val="auto"/>
          <w:sz w:val="24"/>
        </w:rPr>
      </w:pPr>
      <w:r>
        <w:rPr>
          <w:rFonts w:hint="eastAsia" w:ascii="仿宋" w:hAnsi="仿宋" w:eastAsia="仿宋" w:cs="仿宋"/>
          <w:color w:val="auto"/>
          <w:sz w:val="24"/>
        </w:rPr>
        <w:t>7.</w:t>
      </w:r>
      <w:r>
        <w:rPr>
          <w:rFonts w:hint="eastAsia" w:ascii="仿宋" w:hAnsi="仿宋" w:eastAsia="仿宋" w:cs="仿宋"/>
          <w:bCs/>
          <w:color w:val="auto"/>
          <w:sz w:val="24"/>
        </w:rPr>
        <w:t>菜肴品种轮流执行，每次轮流不少于 2 个品种；菜式品种每天更新，开餐期间品种中断不得超过三分钟，且同时不得中断两个品种，（用餐末段可视用餐人数适当控制数量），要做到菜式不变质、无异味、无杂物。每餐须免费提供一种汤，并要保质保量（开餐过程不得中断）。每周五前提供下一周菜单，需注明菜肴名称、主料。</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8.</w:t>
      </w:r>
      <w:r>
        <w:rPr>
          <w:rFonts w:hint="eastAsia" w:ascii="仿宋" w:hAnsi="仿宋" w:eastAsia="仿宋" w:cs="仿宋"/>
          <w:bCs/>
          <w:color w:val="auto"/>
          <w:sz w:val="24"/>
        </w:rPr>
        <w:t>乙方尽量减少腌制品、熏制品（原则每周不得超过 2 个）等易中毒食品的供应，所有菜式定价均经甲方同意方可出售。乙方应在食堂公布炒菜菜品和价格，所有菜品及价格需得到甲方许可后方可实施，未经许可乙方不得擅自调整价格。</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bCs/>
          <w:color w:val="auto"/>
          <w:sz w:val="24"/>
        </w:rPr>
        <w:t>9.</w:t>
      </w:r>
      <w:r>
        <w:rPr>
          <w:rFonts w:hint="eastAsia" w:ascii="仿宋" w:hAnsi="仿宋" w:eastAsia="仿宋" w:cs="仿宋"/>
          <w:color w:val="auto"/>
          <w:sz w:val="24"/>
        </w:rPr>
        <w:t>节假日甲方员工需要加餐时，甲方须提前一天书面知会乙方：包括餐标、菜式、人数，双方签字确认。</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10.乙方在员工食堂可对其他单位或个人提供餐饮服务，餐标由乙方自行与合作单位拟定。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五、双方权利及义务：</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（一）甲方权利义务：</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1、甲方提供经营场地及相应设施、设备等相应的现有经营条件，并收取乙方支付的租赁费。</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2、甲方为乙方提供水、电、蒸汽及天燃气，按医院内部核算科室收费标准向乙方收取费用，按表计量。</w:t>
      </w:r>
    </w:p>
    <w:p>
      <w:pPr>
        <w:numPr>
          <w:ilvl w:val="0"/>
          <w:numId w:val="5"/>
        </w:num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甲方负责监督管理乙方的经营行为，履行合同，做好协调工作，对乙方存在的问题及时提出整改和处理意见。</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4、甲方安排专人负责协调食堂经营、管理工作。</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5、甲方组织人员每月根据合同附件规定的考核标准对乙方的经营行为进行考核，并及时将考核结果通报乙方。</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6、甲方负责审核乙方对经营场地要求整改的申请并监督实施过程；审核乙方对设备设施的维修申请并监督实施；审核乙方添加设备设施的申请。</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 7.甲方有权对乙方原料采购、荤素搭配、服务态度及卫生状况进行监督，并有权要求乙方及时整改。监督过程中发现问题，甲方将以书面形式向乙方反馈，需在规定的期限内进行整改，并进行书面反馈。如乙方拒绝或拖延整改，累计达到三次时，甲方有权单方面解除本合同，乙方不得就此向甲方以任何形式主张任何权利。</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8.甲方应积极配合乙方实施有关用餐规定，筛选员工反映的问题，以便乙方及时改善操作，提供更好的服务质量。</w:t>
      </w:r>
    </w:p>
    <w:p>
      <w:pPr>
        <w:pStyle w:val="2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0"/>
        <w:jc w:val="left"/>
        <w:rPr>
          <w:rFonts w:ascii="仿宋" w:hAnsi="仿宋" w:eastAsia="仿宋" w:cs="仿宋"/>
          <w:color w:val="auto"/>
          <w:sz w:val="24"/>
        </w:rPr>
      </w:pPr>
      <w:r>
        <w:rPr>
          <w:rFonts w:hint="eastAsia" w:ascii="仿宋" w:hAnsi="仿宋" w:eastAsia="仿宋" w:cs="仿宋"/>
          <w:color w:val="auto"/>
          <w:sz w:val="24"/>
        </w:rPr>
        <w:t>9.甲方对乙方有违约行为时及时提出纠正，乙方应及时调查落实，把处理书面结果告知甲方。</w:t>
      </w:r>
    </w:p>
    <w:p>
      <w:pPr>
        <w:pStyle w:val="2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0"/>
        <w:jc w:val="left"/>
        <w:rPr>
          <w:rFonts w:ascii="仿宋" w:hAnsi="仿宋" w:eastAsia="仿宋" w:cs="仿宋"/>
          <w:color w:val="auto"/>
          <w:sz w:val="24"/>
        </w:rPr>
      </w:pPr>
      <w:r>
        <w:rPr>
          <w:rFonts w:hint="eastAsia" w:ascii="仿宋" w:hAnsi="仿宋" w:eastAsia="仿宋" w:cs="仿宋"/>
          <w:color w:val="auto"/>
          <w:sz w:val="24"/>
        </w:rPr>
        <w:t>10.甲方有权依法依规依本合约定条款终止本合同。</w:t>
      </w:r>
    </w:p>
    <w:p>
      <w:pPr>
        <w:pStyle w:val="2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240" w:firstLineChars="100"/>
        <w:jc w:val="left"/>
        <w:rPr>
          <w:rFonts w:ascii="仿宋" w:hAnsi="仿宋" w:eastAsia="仿宋" w:cs="仿宋"/>
          <w:color w:val="auto"/>
          <w:sz w:val="24"/>
        </w:rPr>
      </w:pPr>
      <w:r>
        <w:rPr>
          <w:rFonts w:hint="eastAsia" w:ascii="仿宋" w:hAnsi="仿宋" w:eastAsia="仿宋" w:cs="仿宋"/>
          <w:color w:val="auto"/>
          <w:sz w:val="24"/>
        </w:rPr>
        <w:t xml:space="preserve">（二）乙方的权利义务： </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1、严格按照国家和地方相关餐饮经营等方面的法律、法规制订本合同餐饮的各种经营理办法，规章制度，实施计划经甲方审定后自主开展食堂管理经营活动，自负盈亏。</w:t>
      </w:r>
      <w:r>
        <w:rPr>
          <w:rFonts w:hint="eastAsia" w:ascii="仿宋" w:hAnsi="仿宋" w:eastAsia="仿宋" w:cs="仿宋"/>
          <w:color w:val="auto"/>
          <w:sz w:val="24"/>
          <w:lang w:eastAsia="zh-CN"/>
        </w:rPr>
        <w:t>不给长沙康乃馨老年病医院有限公司及湖南康乃馨养老产业投资置业有限公司带来负面影响，如造成的影响，由乙方负责。</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2、乙方全权负责食堂的经营管理，具体包括食堂人事、菜肴的搭配与制作、就餐环境卫生、服务等。乙方有权就食堂进行重新命名，并在甲方允许的范围内悬挂招牌，</w:t>
      </w:r>
      <w:r>
        <w:rPr>
          <w:rFonts w:hint="eastAsia" w:ascii="仿宋" w:hAnsi="仿宋" w:eastAsia="仿宋" w:cs="仿宋"/>
          <w:color w:val="auto"/>
          <w:sz w:val="24"/>
          <w:lang w:val="zh-TW" w:eastAsia="zh-TW"/>
        </w:rPr>
        <w:t>招牌安装、更换、维护、拆除等费用均由乙方承担，同时乙方还应承担招牌设置所产生的全部责任包括但不限于对甲方或第三方的赔偿损失。</w:t>
      </w:r>
      <w:r>
        <w:rPr>
          <w:rFonts w:hint="eastAsia" w:ascii="仿宋" w:hAnsi="仿宋" w:eastAsia="仿宋" w:cs="仿宋"/>
          <w:color w:val="auto"/>
          <w:sz w:val="24"/>
        </w:rPr>
        <w:t xml:space="preserve"> </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3、乙方雇用员工必须具有健康证明，雇用员工月工资不得低于长沙市规定的最低工资标准，并按国家有关规定为雇用员工发放福利、购买社保、意外伤害五种保险。乙方有权决定员工工资等。乙方员工必须遵守甲方的规章制度。乙方员工给甲方造成的任何损害事实和行为，均由乙方负责。甲方不承担任何连带责任。</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4、建立食品安全档案：制定食品安全防范和处置预案：停水停电、消防、食品安金应急预案等制度。</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5、所有在乙方餐厅就餐的人员如发生中毒事件或在就餐时受到其他意外伤害的，乙方承担所有的责任，如由此而影响甲方声誉的，乙方还应承担甲方由此造成的所有损失，甲方有权直接从餐费结算款中予以扣除。甲方不承担任何连带责任。</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6、自觉接受甲方的监管：并接受业务主管部门的监督和指导，设立意见箱（病人就餐区及员工就餐区各一个），每半个月开箱一次，虚心听取用餐人员意见并及时改进相关工作。</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7、乙方在开业前必须完全具备《</w:t>
      </w:r>
      <w:r>
        <w:rPr>
          <w:rFonts w:hint="eastAsia" w:ascii="仿宋" w:hAnsi="仿宋" w:eastAsia="仿宋" w:cs="仿宋"/>
          <w:color w:val="auto"/>
          <w:sz w:val="24"/>
          <w:lang w:eastAsia="zh-CN"/>
        </w:rPr>
        <w:t>食品经营许可证</w:t>
      </w:r>
      <w:r>
        <w:rPr>
          <w:rFonts w:hint="eastAsia" w:ascii="仿宋" w:hAnsi="仿宋" w:eastAsia="仿宋" w:cs="仿宋"/>
          <w:color w:val="auto"/>
          <w:sz w:val="24"/>
        </w:rPr>
        <w:t>》等经营食堂所需的证照。</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8、经营期间以乙方名义发生的债权、债务均由乙方承担，与甲方无关</w:t>
      </w:r>
      <w:r>
        <w:rPr>
          <w:rFonts w:hint="eastAsia" w:ascii="仿宋" w:hAnsi="仿宋" w:eastAsia="仿宋" w:cs="仿宋"/>
          <w:color w:val="auto"/>
          <w:sz w:val="24"/>
          <w:lang w:eastAsia="zh-CN"/>
        </w:rPr>
        <w:t>，甲方不承担任何连带责任。</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9、须对员工定期进行安全教育，增加安全防范意识和责任心。</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10、乙方做好餐饮原材料进、出台帐登记。</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11、乙方不得以任何方式将食堂经营权进行转让、转包或分包，更不能利用康乃馨公司资产搞不法经营，不得随意中途停止营业或不正常营业。</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12、乙方须自觉遵守国家法律法规和甲方的各项规制度、卫生安全管理条例并负责搞好“四防”工作和除“四害”工作等。</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13、乙方承诺在合同的签订以及合同期内不向甲方任何人员送礼品、礼金、有价证卷等违反党风廉政规定的物资以及其他不正当手段获取利益，如有违反，甲方有权提前解除合同而不支付违约金，并负责赔偿由此造成的甲方的损失。</w:t>
      </w:r>
    </w:p>
    <w:p>
      <w:pPr>
        <w:pStyle w:val="2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jc w:val="left"/>
        <w:rPr>
          <w:rFonts w:ascii="仿宋" w:hAnsi="仿宋" w:eastAsia="仿宋" w:cs="仿宋"/>
          <w:color w:val="auto"/>
          <w:sz w:val="24"/>
        </w:rPr>
      </w:pPr>
      <w:r>
        <w:rPr>
          <w:rFonts w:hint="eastAsia" w:ascii="仿宋" w:hAnsi="仿宋" w:eastAsia="仿宋" w:cs="仿宋"/>
          <w:color w:val="auto"/>
          <w:sz w:val="24"/>
        </w:rPr>
        <w:t>14、餐厨垃圾处理须严格按照《长沙市餐垃管理办法》相关规定，妥善储存，交由有资质单位处理，相关费用由乙方负责。</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15. 乙方需严格执行《中华人民共和国食品安全法》和IS09000质量标准、IS022000食品食品安全管理标准、ISO14001环境安全管理标准和本合同的要求实施餐饮服务和管理,自觉接受甲方及政府相关职能部门的监管，禁止经营及供应《食品安全法》及其配套法规规定的十三类食品，以及未经卫生防疫部门检查合格的食品和“三无”调味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16.乙方必须保证其食品经营许可证等证照合法有效，否则甲方有权立即单方无条件解除本合同。如因归责于乙方原因（如乙方员工操作不当、乙方管理不当等）造成的甲方财产损失的由乙方承担经济赔偿责任。</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17.乙方必须遵守国家及地方有关环境和食品卫生的标准，严禁供应腐烂变质的食物，保持菜肴的新鲜和卫生，因此而被用餐人员投诉的，甲方有权要求乙方支付500元每次的违约金；</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18.乙方严禁向甲方员工提供隔夜剩饭、剩菜，一经发现甲方有权要求乙方支付违约金：第一次 1000 元、第二次 2000 元、第三次 5000 元并终止合作关系。乙方应根据就餐人数合理安排每餐数量，禁止销售隔夜食品。</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19.乙方至少在餐前一小时对餐具进行消毒，餐具上不得留下任何水渍、油渍、污渍，筷子必须3个月更换一次、早餐碗具必须半年更换一次，碗、筷、汤勺、不锈钢餐盘餐具要每餐消毒，塑料托盘、刀、蒸板、菜框每日消毒一次，不能用消毒柜消毒的餐具必须沸水消毒。其他所有固定设备如冰箱、蒸饭箱、消毒柜等需每周清理消毒一次。餐具清洗区须严格划分，清洗、漂洗、过水等，并有明显标记注明，拖把有专用清洗区，存放须与餐具区分。因此而被投诉的，甲方有权要求乙方支付200元每次的违约金，相关部门处罚由乙方承担；</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20. 乙方在员工食堂可对其他单位或个人提供餐饮服务，但需优先为甲方员工服务，并要求与甲方员工进行明显区分，</w:t>
      </w:r>
      <w:r>
        <w:rPr>
          <w:rFonts w:hint="eastAsia" w:ascii="仿宋" w:hAnsi="仿宋" w:eastAsia="仿宋" w:cs="仿宋"/>
          <w:color w:val="auto"/>
          <w:sz w:val="24"/>
          <w:lang w:eastAsia="zh-CN"/>
        </w:rPr>
        <w:t>区分形式包括但不限于如就餐区域、餐具等，</w:t>
      </w:r>
      <w:r>
        <w:rPr>
          <w:rFonts w:hint="eastAsia" w:ascii="仿宋" w:hAnsi="仿宋" w:eastAsia="仿宋" w:cs="仿宋"/>
          <w:color w:val="auto"/>
          <w:sz w:val="24"/>
        </w:rPr>
        <w:t xml:space="preserve">如因此被投诉的，甲方有权要求乙方支付500元每次的违约金； </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21.蔬菜类食品原材料购买时不得有腐烂变质品种，用餐时菜品保证干净无杂质，若发现残留菜虫等情况，甲方有权要求乙方支付200元每次的违约金；</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22.乙方保证餐桌、地板整洁无油腻，因此而被投诉的，甲方有权要求乙方支付200元每次的违约金；</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22.乙方食堂零售食品（酸奶、米、油等）价格不得高于市场</w:t>
      </w:r>
      <w:r>
        <w:rPr>
          <w:rFonts w:hint="eastAsia" w:ascii="仿宋" w:hAnsi="仿宋" w:eastAsia="仿宋" w:cs="仿宋"/>
          <w:color w:val="auto"/>
          <w:sz w:val="24"/>
          <w:lang w:eastAsia="zh-CN"/>
        </w:rPr>
        <w:t>零售</w:t>
      </w:r>
      <w:r>
        <w:rPr>
          <w:rFonts w:hint="eastAsia" w:ascii="仿宋" w:hAnsi="仿宋" w:eastAsia="仿宋" w:cs="仿宋"/>
          <w:color w:val="auto"/>
          <w:sz w:val="24"/>
        </w:rPr>
        <w:t>价格，否则甲方有权要求乙方支付200元每次的违约金；所有零售商品需张贴价目表。</w:t>
      </w:r>
    </w:p>
    <w:p>
      <w:pPr>
        <w:spacing w:line="500" w:lineRule="exact"/>
        <w:ind w:firstLine="480" w:firstLineChars="200"/>
        <w:rPr>
          <w:rFonts w:ascii="仿宋" w:hAnsi="仿宋" w:eastAsia="仿宋" w:cs="仿宋"/>
          <w:b/>
          <w:bCs/>
          <w:color w:val="auto"/>
          <w:sz w:val="24"/>
        </w:rPr>
      </w:pPr>
      <w:r>
        <w:rPr>
          <w:rFonts w:hint="eastAsia" w:ascii="仿宋" w:hAnsi="仿宋" w:eastAsia="仿宋" w:cs="仿宋"/>
          <w:color w:val="auto"/>
          <w:sz w:val="24"/>
        </w:rPr>
        <w:t>23.以国家公众媒体如CCTV、国家气象局网站公布天气预报为标准，夏季室内温度超过28摄氏度时，开启开餐区域制冷空调，冬季室内温度低于12摄氏度时，开启开餐区域制热空调，保持室内温度26摄氏度左右。因此而被投诉的，甲方有权要求乙方支付200元每次的违约金；</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24.甲方员工对食堂的投诉内容经甲方行政人事部、餐饮部、财务部共同核实分析。因乙方的产品质量不当引起的投诉甲方有权要求乙方支付违约金，额度视情节轻重而定，如月投诉达五次以上者，甲方有权提前终止合同关系。</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25.乙方必须保证甲方员工准时就餐，不得误餐，（不可抗力和非归责于乙方因素影响食堂正常工作的除外）如因乙方原因导致误餐的必须承担如下责任：</w:t>
      </w:r>
    </w:p>
    <w:p>
      <w:pPr>
        <w:spacing w:line="500" w:lineRule="exact"/>
        <w:ind w:firstLine="360" w:firstLineChars="150"/>
        <w:rPr>
          <w:rFonts w:ascii="仿宋" w:hAnsi="仿宋" w:eastAsia="仿宋" w:cs="仿宋"/>
          <w:strike/>
          <w:color w:val="auto"/>
          <w:sz w:val="24"/>
        </w:rPr>
      </w:pPr>
      <w:r>
        <w:rPr>
          <w:rFonts w:hint="eastAsia" w:ascii="仿宋" w:hAnsi="仿宋" w:eastAsia="仿宋" w:cs="仿宋"/>
          <w:color w:val="auto"/>
          <w:sz w:val="24"/>
        </w:rPr>
        <w:t>延误1-10分钟的，甲方有权要求乙方支付100元每次的违约金；</w:t>
      </w:r>
    </w:p>
    <w:p>
      <w:pPr>
        <w:spacing w:line="500" w:lineRule="exact"/>
        <w:ind w:firstLine="360" w:firstLineChars="150"/>
        <w:rPr>
          <w:rFonts w:ascii="仿宋" w:hAnsi="仿宋" w:eastAsia="仿宋" w:cs="仿宋"/>
          <w:strike/>
          <w:color w:val="auto"/>
          <w:sz w:val="24"/>
        </w:rPr>
      </w:pPr>
      <w:r>
        <w:rPr>
          <w:rFonts w:hint="eastAsia" w:ascii="仿宋" w:hAnsi="仿宋" w:eastAsia="仿宋" w:cs="仿宋"/>
          <w:color w:val="auto"/>
          <w:sz w:val="24"/>
        </w:rPr>
        <w:t>延误11-30分钟的，甲方有权要求乙方支付300元每次的违约金；</w:t>
      </w:r>
    </w:p>
    <w:p>
      <w:pPr>
        <w:spacing w:line="500" w:lineRule="exact"/>
        <w:ind w:firstLine="360" w:firstLineChars="150"/>
        <w:rPr>
          <w:rFonts w:ascii="仿宋" w:hAnsi="仿宋" w:eastAsia="仿宋" w:cs="仿宋"/>
          <w:color w:val="auto"/>
          <w:sz w:val="24"/>
        </w:rPr>
      </w:pPr>
      <w:r>
        <w:rPr>
          <w:rFonts w:hint="eastAsia" w:ascii="仿宋" w:hAnsi="仿宋" w:eastAsia="仿宋" w:cs="仿宋"/>
          <w:color w:val="auto"/>
          <w:sz w:val="24"/>
        </w:rPr>
        <w:t>延误31分钟以上的，甲方有权要求乙方支付500元每次的违约金。</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26.餐后认真清洗食具并消毒，食堂内部、用餐大厅环境卫生全面清洁整理。经常清理食堂内外水池、下水道，确保畅通，经常清理灶台及炊事用品污垢，做好消除蚊、蝇、鼠害，冰柜定期清理、除霜、消除异味、生熟物品分开存放。若湖南公司质检中出现问题未及时限期整改，甲方有权要求乙方支付500元每次的违约金。</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27.</w:t>
      </w:r>
      <w:r>
        <w:rPr>
          <w:rFonts w:hint="eastAsia" w:ascii="仿宋" w:hAnsi="仿宋" w:eastAsia="仿宋" w:cs="仿宋"/>
          <w:bCs/>
          <w:color w:val="auto"/>
          <w:sz w:val="24"/>
        </w:rPr>
        <w:t>所有工作人员均须持证（健康证）上岗，工作期间一律穿工作服，并做到干净整洁，打饭菜人员须戴工作帽、一次性口罩、一次性手套。</w:t>
      </w:r>
      <w:r>
        <w:rPr>
          <w:rFonts w:hint="eastAsia" w:ascii="仿宋" w:hAnsi="仿宋" w:eastAsia="仿宋" w:cs="仿宋"/>
          <w:color w:val="auto"/>
          <w:sz w:val="24"/>
        </w:rPr>
        <w:t>因食堂及食品安全的特殊性，乙方有义务确保直接接触食品的员工必须有食品工种的健康证，并每半年安排其员工在当地三甲医院体检一次，乙方员工持有健康证、每年体检无传染性疾病作为其入职乙方的基本前提，无健康证一律不允许上岗。甲方有权对其员工健康证和体检无传染性疾病情况进行检查。如甲方抽检发现乙方实际操作人员无相应证件，甲方有权要求乙方支付200元每次的违约金。</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28.乙方必须保证食物安全，食物留样48小时，如甲方抽检发现乙方未按要求留样，甲方有权要求乙方支付500元每次的违约金。</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29.甲方对以上4—16项的日常检查过程中发现违规者将追究违约责任，甲方有权要求乙方支付相应每次的违约金，并有权从当月的餐费中扣除。</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30.所有食堂工作员工工资和福利、保险等与劳动有关的内容，均由乙方自行负责，与甲方无关。</w:t>
      </w:r>
    </w:p>
    <w:p>
      <w:pPr>
        <w:spacing w:line="500" w:lineRule="exact"/>
        <w:ind w:firstLine="470" w:firstLineChars="196"/>
        <w:rPr>
          <w:rFonts w:ascii="仿宋" w:hAnsi="仿宋" w:eastAsia="仿宋" w:cs="仿宋"/>
          <w:color w:val="auto"/>
          <w:sz w:val="24"/>
        </w:rPr>
      </w:pPr>
      <w:r>
        <w:rPr>
          <w:rFonts w:hint="eastAsia" w:ascii="仿宋" w:hAnsi="仿宋" w:eastAsia="仿宋" w:cs="仿宋"/>
          <w:color w:val="auto"/>
          <w:sz w:val="24"/>
        </w:rPr>
        <w:t>31.合同期内乙方负责食堂范围内的消防、治安、财产安全，乙方负责人须与甲方签订安全生产责任状，如违反安全生产责任状相关条款，甲方有权立即单方面无条件解除本合同。如因归责于乙方原因（如乙方员工操作不当、乙方管理不当等）造成的甲方财产损失的由乙方承担经济赔偿责任。</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32.乙方应该于每周一上午公布下周菜单，每周菜单不能重复，甲方有权要求乙方配合调整菜单。</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33.由于甲方员工食堂用餐时间较长，乙方</w:t>
      </w:r>
      <w:r>
        <w:rPr>
          <w:rFonts w:hint="eastAsia" w:ascii="仿宋" w:hAnsi="仿宋" w:eastAsia="仿宋" w:cs="仿宋"/>
          <w:color w:val="auto"/>
          <w:sz w:val="24"/>
          <w:lang w:eastAsia="zh-CN"/>
        </w:rPr>
        <w:t>确保员工、病人用餐。</w:t>
      </w:r>
      <w:r>
        <w:rPr>
          <w:rFonts w:hint="eastAsia" w:ascii="仿宋" w:hAnsi="仿宋" w:eastAsia="仿宋" w:cs="仿宋"/>
          <w:color w:val="auto"/>
          <w:sz w:val="24"/>
        </w:rPr>
        <w:t>应保证全天在食堂工作，为了更好的服务于食堂用餐人员。</w:t>
      </w:r>
    </w:p>
    <w:p>
      <w:pPr>
        <w:spacing w:line="500" w:lineRule="exact"/>
        <w:ind w:firstLine="424" w:firstLineChars="177"/>
        <w:rPr>
          <w:rFonts w:ascii="仿宋" w:hAnsi="仿宋" w:eastAsia="仿宋" w:cs="仿宋"/>
          <w:color w:val="auto"/>
          <w:sz w:val="24"/>
        </w:rPr>
      </w:pPr>
      <w:r>
        <w:rPr>
          <w:rFonts w:hint="eastAsia" w:ascii="仿宋" w:hAnsi="仿宋" w:eastAsia="仿宋" w:cs="仿宋"/>
          <w:color w:val="auto"/>
          <w:sz w:val="24"/>
        </w:rPr>
        <w:t>34.甲、乙双方员工应保持互相尊重，尽量不发生磨擦，更不许出现打架等事例，若有发生追究责任因此造成的伤害由无理的一方负责。</w:t>
      </w:r>
    </w:p>
    <w:p>
      <w:pPr>
        <w:tabs>
          <w:tab w:val="left" w:pos="418"/>
          <w:tab w:val="left" w:pos="916"/>
          <w:tab w:val="left" w:pos="1832"/>
          <w:tab w:val="left" w:pos="3664"/>
          <w:tab w:val="left" w:pos="5496"/>
          <w:tab w:val="left" w:pos="7328"/>
          <w:tab w:val="left" w:pos="9160"/>
          <w:tab w:val="left" w:pos="10992"/>
          <w:tab w:val="left" w:pos="12824"/>
          <w:tab w:val="left" w:pos="14656"/>
        </w:tabs>
        <w:spacing w:line="500" w:lineRule="exact"/>
        <w:ind w:firstLine="482" w:firstLineChars="200"/>
        <w:rPr>
          <w:rFonts w:ascii="仿宋" w:hAnsi="仿宋" w:eastAsia="仿宋" w:cs="仿宋"/>
          <w:b/>
          <w:color w:val="auto"/>
          <w:sz w:val="24"/>
        </w:rPr>
      </w:pPr>
      <w:r>
        <w:rPr>
          <w:rFonts w:hint="eastAsia" w:ascii="仿宋" w:hAnsi="仿宋" w:eastAsia="仿宋" w:cs="仿宋"/>
          <w:b/>
          <w:color w:val="auto"/>
          <w:sz w:val="24"/>
        </w:rPr>
        <w:t xml:space="preserve">六、违约责任 </w:t>
      </w:r>
    </w:p>
    <w:p>
      <w:pPr>
        <w:tabs>
          <w:tab w:val="left" w:pos="418"/>
          <w:tab w:val="left" w:pos="916"/>
          <w:tab w:val="left" w:pos="1832"/>
          <w:tab w:val="left" w:pos="3664"/>
          <w:tab w:val="left" w:pos="5496"/>
          <w:tab w:val="left" w:pos="7328"/>
          <w:tab w:val="left" w:pos="9160"/>
          <w:tab w:val="left" w:pos="10992"/>
          <w:tab w:val="left" w:pos="12824"/>
          <w:tab w:val="left" w:pos="14656"/>
        </w:tabs>
        <w:spacing w:line="50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（一）如因乙方原因（存在生产安全隐患、发生食物中毒、环境卫生不符合国家法律法规等其他可归责乙方的事件</w:t>
      </w:r>
      <w:r>
        <w:rPr>
          <w:rFonts w:hint="eastAsia" w:ascii="仿宋" w:hAnsi="仿宋" w:eastAsia="仿宋" w:cs="仿宋"/>
          <w:color w:val="auto"/>
          <w:sz w:val="24"/>
          <w:lang w:eastAsia="zh-CN"/>
        </w:rPr>
        <w:t>），</w:t>
      </w:r>
      <w:r>
        <w:rPr>
          <w:rFonts w:hint="eastAsia" w:ascii="仿宋" w:hAnsi="仿宋" w:eastAsia="仿宋" w:cs="仿宋"/>
          <w:color w:val="auto"/>
          <w:sz w:val="24"/>
        </w:rPr>
        <w:t>并导致政府部门给予甲方处罚的，乙方承担全部责任，并赔偿由此给甲方造成的经济损失。乙方不履行此条款，甲方可扣除全部保证金并终止合同，不承担任何赔偿，</w:t>
      </w:r>
      <w:r>
        <w:rPr>
          <w:rFonts w:hint="eastAsia" w:ascii="仿宋" w:hAnsi="仿宋" w:eastAsia="仿宋" w:cs="仿宋"/>
          <w:color w:val="auto"/>
          <w:sz w:val="24"/>
          <w:lang w:eastAsia="zh-CN"/>
        </w:rPr>
        <w:t>保证金不足以赔偿甲方损失的，甲方可继续追偿。</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rPr>
          <w:rFonts w:ascii="仿宋" w:hAnsi="仿宋" w:eastAsia="仿宋" w:cs="仿宋"/>
          <w:color w:val="auto"/>
          <w:sz w:val="24"/>
        </w:rPr>
      </w:pPr>
      <w:r>
        <w:rPr>
          <w:rFonts w:hint="eastAsia" w:ascii="仿宋" w:hAnsi="仿宋" w:eastAsia="仿宋" w:cs="仿宋"/>
          <w:color w:val="auto"/>
        </w:rPr>
        <w:t>（二）</w:t>
      </w:r>
      <w:r>
        <w:rPr>
          <w:rFonts w:hint="eastAsia" w:ascii="仿宋" w:hAnsi="仿宋" w:eastAsia="仿宋" w:cs="仿宋"/>
          <w:color w:val="auto"/>
          <w:sz w:val="24"/>
          <w:lang w:eastAsia="zh-CN"/>
        </w:rPr>
        <w:t>如</w:t>
      </w:r>
      <w:r>
        <w:rPr>
          <w:rFonts w:hint="eastAsia" w:ascii="仿宋" w:hAnsi="仿宋" w:eastAsia="仿宋" w:cs="仿宋"/>
          <w:color w:val="auto"/>
          <w:sz w:val="24"/>
          <w:lang w:eastAsia="zh-CN"/>
        </w:rPr>
        <w:t>乙方签定合同后，未经</w:t>
      </w:r>
      <w:r>
        <w:rPr>
          <w:rFonts w:hint="eastAsia" w:ascii="仿宋" w:hAnsi="仿宋" w:eastAsia="仿宋" w:cs="仿宋"/>
          <w:color w:val="auto"/>
          <w:sz w:val="24"/>
        </w:rPr>
        <w:t>甲方书面</w:t>
      </w:r>
      <w:r>
        <w:rPr>
          <w:rFonts w:hint="eastAsia" w:ascii="仿宋" w:hAnsi="仿宋" w:eastAsia="仿宋" w:cs="仿宋"/>
          <w:color w:val="auto"/>
          <w:sz w:val="24"/>
          <w:lang w:eastAsia="zh-CN"/>
        </w:rPr>
        <w:t>签字</w:t>
      </w:r>
      <w:r>
        <w:rPr>
          <w:rFonts w:hint="eastAsia" w:ascii="仿宋" w:hAnsi="仿宋" w:eastAsia="仿宋" w:cs="仿宋"/>
          <w:color w:val="auto"/>
          <w:sz w:val="24"/>
        </w:rPr>
        <w:t>同意</w:t>
      </w:r>
      <w:r>
        <w:rPr>
          <w:rFonts w:hint="eastAsia" w:ascii="仿宋" w:hAnsi="仿宋" w:eastAsia="仿宋" w:cs="仿宋"/>
          <w:color w:val="auto"/>
          <w:sz w:val="24"/>
          <w:lang w:eastAsia="zh-CN"/>
        </w:rPr>
        <w:t>擅自对食堂进行改造，对甲方造成不良影响的，应按甲方要求整改，造成损失的，应赔偿损失，即不整改又不予赔偿的，甲方有权解除合同，并不予退还保证金，保证金不足以弥补损失的，乙方应承担继续赔偿责任</w:t>
      </w:r>
      <w:r>
        <w:rPr>
          <w:rFonts w:hint="eastAsia" w:ascii="仿宋" w:hAnsi="仿宋" w:eastAsia="仿宋" w:cs="仿宋"/>
          <w:color w:val="auto"/>
          <w:sz w:val="24"/>
        </w:rPr>
        <w:t xml:space="preserve">。 </w:t>
      </w:r>
    </w:p>
    <w:p>
      <w:pPr>
        <w:pStyle w:val="24"/>
        <w:shd w:val="clear" w:color="auto" w:fill="FFFFFF"/>
        <w:spacing w:before="0" w:beforeAutospacing="0" w:after="0" w:afterAutospacing="0" w:line="500" w:lineRule="exact"/>
        <w:ind w:firstLine="480" w:firstLineChars="200"/>
        <w:rPr>
          <w:rFonts w:ascii="仿宋" w:hAnsi="仿宋" w:eastAsia="仿宋" w:cs="仿宋"/>
          <w:color w:val="auto"/>
        </w:rPr>
      </w:pPr>
      <w:r>
        <w:rPr>
          <w:rFonts w:hint="eastAsia" w:ascii="仿宋" w:hAnsi="仿宋" w:eastAsia="仿宋" w:cs="仿宋"/>
          <w:color w:val="auto"/>
          <w:lang w:eastAsia="zh-CN"/>
        </w:rPr>
        <w:t>（三）</w:t>
      </w:r>
      <w:r>
        <w:rPr>
          <w:rFonts w:hint="eastAsia" w:ascii="仿宋" w:hAnsi="仿宋" w:eastAsia="仿宋" w:cs="仿宋"/>
          <w:color w:val="auto"/>
        </w:rPr>
        <w:t>因乙方提供不符合食品卫生安全标准的食物造成人员食物中毒的，由乙方负责赔偿并承担相应的法律后果。若因此造成第三人向甲方主张权利的，甲方所支出的一切费用均由乙方承担，包括但不限于甲方为维护自身权利而支出的律师费、诉讼费、向第三人支付的费用等。乙方不履行此条款，甲方可扣除全部保证金并终止合同，不承担任何赔偿，并</w:t>
      </w:r>
      <w:r>
        <w:rPr>
          <w:rFonts w:hint="eastAsia" w:ascii="仿宋" w:hAnsi="仿宋" w:eastAsia="仿宋" w:cs="仿宋"/>
          <w:color w:val="auto"/>
          <w:lang w:eastAsia="zh-CN"/>
        </w:rPr>
        <w:t>有权</w:t>
      </w:r>
      <w:r>
        <w:rPr>
          <w:rFonts w:hint="eastAsia" w:ascii="仿宋" w:hAnsi="仿宋" w:eastAsia="仿宋" w:cs="仿宋"/>
          <w:color w:val="auto"/>
        </w:rPr>
        <w:t>依法提起诉讼予以追回相关费用。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四</w:t>
      </w:r>
      <w:r>
        <w:rPr>
          <w:rFonts w:hint="eastAsia" w:ascii="仿宋" w:hAnsi="仿宋" w:eastAsia="仿宋" w:cs="仿宋"/>
          <w:color w:val="auto"/>
          <w:sz w:val="24"/>
        </w:rPr>
        <w:t xml:space="preserve">）乙方逾期支付费用的，每逾期一天向甲方支付迟延付款违约金200元，逾期超过30天的，甲方有权单方解除合同并从保证金中扣除20%作为违约金。 </w:t>
      </w:r>
    </w:p>
    <w:p>
      <w:pPr>
        <w:pStyle w:val="24"/>
        <w:shd w:val="clear" w:color="auto" w:fill="FFFFFF"/>
        <w:spacing w:before="0" w:beforeAutospacing="0" w:after="0" w:afterAutospacing="0"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五</w:t>
      </w:r>
      <w:r>
        <w:rPr>
          <w:rFonts w:hint="eastAsia" w:ascii="仿宋" w:hAnsi="仿宋" w:eastAsia="仿宋" w:cs="仿宋"/>
          <w:color w:val="auto"/>
          <w:sz w:val="24"/>
        </w:rPr>
        <w:t>）</w:t>
      </w:r>
      <w:r>
        <w:rPr>
          <w:rFonts w:hint="eastAsia" w:ascii="仿宋" w:hAnsi="仿宋" w:eastAsia="仿宋" w:cs="仿宋"/>
          <w:color w:val="auto"/>
          <w:spacing w:val="0"/>
          <w:w w:val="100"/>
          <w:position w:val="0"/>
          <w:sz w:val="24"/>
          <w:szCs w:val="24"/>
        </w:rPr>
        <w:t>合作期间，非双方书面认可，任何一方不得无故变更本协议</w:t>
      </w:r>
      <w:r>
        <w:rPr>
          <w:rFonts w:hint="eastAsia" w:ascii="仿宋" w:hAnsi="仿宋" w:eastAsia="仿宋" w:cs="仿宋"/>
          <w:color w:val="auto"/>
          <w:spacing w:val="0"/>
          <w:w w:val="100"/>
          <w:position w:val="0"/>
          <w:sz w:val="24"/>
          <w:szCs w:val="24"/>
          <w:lang w:val="en-US" w:eastAsia="zh-CN"/>
        </w:rPr>
        <w:t>。</w:t>
      </w:r>
      <w:r>
        <w:rPr>
          <w:rFonts w:hint="eastAsia" w:ascii="仿宋" w:hAnsi="仿宋" w:eastAsia="仿宋" w:cs="仿宋"/>
          <w:color w:val="auto"/>
          <w:sz w:val="24"/>
        </w:rPr>
        <w:t>如乙方在</w:t>
      </w:r>
      <w:r>
        <w:rPr>
          <w:rFonts w:hint="eastAsia" w:ascii="仿宋" w:hAnsi="仿宋" w:eastAsia="仿宋" w:cs="仿宋"/>
          <w:color w:val="auto"/>
          <w:sz w:val="24"/>
          <w:lang w:eastAsia="zh-CN"/>
        </w:rPr>
        <w:t>未经</w:t>
      </w:r>
      <w:r>
        <w:rPr>
          <w:rFonts w:hint="eastAsia" w:ascii="仿宋" w:hAnsi="仿宋" w:eastAsia="仿宋" w:cs="仿宋"/>
          <w:color w:val="auto"/>
          <w:sz w:val="24"/>
        </w:rPr>
        <w:t>甲方</w:t>
      </w:r>
      <w:r>
        <w:rPr>
          <w:rFonts w:hint="eastAsia" w:ascii="仿宋" w:hAnsi="仿宋" w:eastAsia="仿宋" w:cs="仿宋"/>
          <w:color w:val="auto"/>
          <w:sz w:val="24"/>
          <w:lang w:eastAsia="zh-CN"/>
        </w:rPr>
        <w:t>同意</w:t>
      </w:r>
      <w:r>
        <w:rPr>
          <w:rFonts w:hint="eastAsia" w:ascii="仿宋" w:hAnsi="仿宋" w:eastAsia="仿宋" w:cs="仿宋"/>
          <w:color w:val="auto"/>
          <w:sz w:val="24"/>
        </w:rPr>
        <w:t>即单方面终止履行合同的，则甲方不予退还乙方的合同保证金。若甲方无正当理由，不通知乙方单方面终止合同则须赔偿乙方保证金中的20%作为违约金。</w:t>
      </w:r>
    </w:p>
    <w:p>
      <w:pPr>
        <w:pStyle w:val="24"/>
        <w:shd w:val="clear" w:color="auto" w:fill="FFFFFF"/>
        <w:spacing w:before="0" w:beforeAutospacing="0" w:after="0" w:afterAutospacing="0"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六</w:t>
      </w:r>
      <w:r>
        <w:rPr>
          <w:rFonts w:hint="eastAsia" w:ascii="仿宋" w:hAnsi="仿宋" w:eastAsia="仿宋" w:cs="仿宋"/>
          <w:color w:val="auto"/>
          <w:sz w:val="24"/>
        </w:rPr>
        <w:t>）乙方应保证本合同履行期间具有合法有效的食品经营许可证以及工作人员均具有有效的健康证件；若乙方的食品经营许可证等证照不是合法有效，或者在合同履行期间被有关卫生行政部门处罚等，甲方有权单方解除合同，并有权从保证金中扣除20%作为违约金，如造成其他损失的，还应承担赔偿责任。</w:t>
      </w:r>
    </w:p>
    <w:p>
      <w:pPr>
        <w:pStyle w:val="24"/>
        <w:shd w:val="clear" w:color="auto" w:fill="FFFFFF"/>
        <w:spacing w:before="0" w:beforeAutospacing="0" w:after="0" w:afterAutospacing="0" w:line="5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七</w:t>
      </w:r>
      <w:r>
        <w:rPr>
          <w:rFonts w:hint="eastAsia" w:ascii="仿宋" w:hAnsi="仿宋" w:eastAsia="仿宋" w:cs="仿宋"/>
          <w:color w:val="auto"/>
          <w:sz w:val="24"/>
        </w:rPr>
        <w:t>）乙方应保证本合同履行期间具有合法有效的食品经营许可证以及工作人员均具有有效的健康证件；若乙方的食品经营许可证等证照不是合法有效，或者在合同履行期间被有关卫生行政部门处罚等，甲方有权单方解除合同，并有权从保证金中扣除20%作为违约金，如造成其他损失的，还应承担赔偿责任。</w:t>
      </w:r>
    </w:p>
    <w:p>
      <w:pPr>
        <w:pStyle w:val="29"/>
        <w:shd w:val="clear" w:color="auto" w:fill="auto"/>
        <w:tabs>
          <w:tab w:val="left" w:pos="828"/>
        </w:tabs>
        <w:ind w:firstLine="480" w:firstLineChars="200"/>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八</w:t>
      </w:r>
      <w:r>
        <w:rPr>
          <w:rFonts w:hint="eastAsia" w:ascii="仿宋" w:hAnsi="仿宋" w:eastAsia="仿宋" w:cs="仿宋"/>
          <w:color w:val="auto"/>
          <w:sz w:val="24"/>
        </w:rPr>
        <w:t>）若甲方检查发现或者经有关部门认定乙方出售的食品不符合国家和地方有关环境和食品卫生的标准，甲方有权单方解除合同，并从保证金中扣除20%作为违约金，如造成其他损失的，还应承担赔偿责任。</w:t>
      </w:r>
    </w:p>
    <w:p>
      <w:pPr>
        <w:pStyle w:val="29"/>
        <w:shd w:val="clear" w:color="auto" w:fill="auto"/>
        <w:tabs>
          <w:tab w:val="left" w:pos="828"/>
        </w:tabs>
        <w:rPr>
          <w:rFonts w:hint="eastAsia" w:ascii="仿宋" w:hAnsi="仿宋" w:eastAsia="仿宋" w:cs="仿宋"/>
          <w:color w:val="auto"/>
          <w:sz w:val="24"/>
          <w:szCs w:val="24"/>
          <w:u w:val="none"/>
          <w:shd w:val="clear"/>
          <w:lang w:val="en-US" w:eastAsia="zh-CN" w:bidi="ar-SA"/>
        </w:rPr>
      </w:pPr>
      <w:r>
        <w:rPr>
          <w:rFonts w:hint="eastAsia" w:ascii="仿宋" w:hAnsi="仿宋" w:eastAsia="仿宋" w:cs="仿宋"/>
          <w:color w:val="auto"/>
          <w:sz w:val="24"/>
          <w:szCs w:val="24"/>
          <w:u w:val="none"/>
          <w:shd w:val="clear"/>
          <w:lang w:val="en-US" w:eastAsia="zh-CN" w:bidi="ar-SA"/>
        </w:rPr>
        <w:t>（九）因食堂及食品安全的特殊性，甲方在检查中发现乙方员工无健康证和体检有传染性疾病情况的，甲方有权单方解除本合同，并从保证金中扣除20%作为违约金，乙方不得就此向甲方以任何形式主张任何权利。如因乙方员工患有传染性疾病造成任何人员损失的，由此产生的一切法律后果由乙方承担（包括但不限于诉讼费、律师费、办案费等全部费用）。</w:t>
      </w:r>
    </w:p>
    <w:p>
      <w:pPr>
        <w:pStyle w:val="24"/>
        <w:shd w:val="clear" w:color="auto" w:fill="FFFFFF"/>
        <w:spacing w:before="0" w:beforeAutospacing="0" w:after="0" w:afterAutospacing="0" w:line="500" w:lineRule="exact"/>
        <w:ind w:firstLine="480" w:firstLineChars="200"/>
        <w:rPr>
          <w:rFonts w:hint="eastAsia" w:ascii="仿宋" w:hAnsi="仿宋" w:eastAsia="仿宋" w:cs="仿宋"/>
          <w:color w:val="auto"/>
          <w:lang w:val="en-US" w:eastAsia="zh-CN"/>
        </w:rPr>
      </w:pPr>
      <w:r>
        <w:rPr>
          <w:rFonts w:hint="eastAsia" w:ascii="仿宋" w:hAnsi="仿宋" w:eastAsia="仿宋" w:cs="仿宋"/>
          <w:color w:val="auto"/>
        </w:rPr>
        <w:t>（</w:t>
      </w:r>
      <w:r>
        <w:rPr>
          <w:rFonts w:hint="eastAsia" w:ascii="仿宋" w:hAnsi="仿宋" w:eastAsia="仿宋" w:cs="仿宋"/>
          <w:color w:val="auto"/>
          <w:lang w:eastAsia="zh-CN"/>
        </w:rPr>
        <w:t>十</w:t>
      </w:r>
      <w:r>
        <w:rPr>
          <w:rFonts w:hint="eastAsia" w:ascii="仿宋" w:hAnsi="仿宋" w:eastAsia="仿宋" w:cs="仿宋"/>
          <w:color w:val="auto"/>
        </w:rPr>
        <w:t>）除上述所列违约行为以外，因乙方其他违约行为致使本合同提前解除的，乙方应按保证金的20%作为违约金向甲方支付违约金，</w:t>
      </w:r>
      <w:r>
        <w:rPr>
          <w:rFonts w:hint="eastAsia" w:ascii="仿宋" w:hAnsi="仿宋" w:eastAsia="仿宋" w:cs="仿宋"/>
          <w:color w:val="auto"/>
          <w:lang w:val="en-US" w:eastAsia="zh-CN"/>
        </w:rPr>
        <w:t>不足以弥补</w:t>
      </w:r>
      <w:r>
        <w:rPr>
          <w:rFonts w:hint="eastAsia" w:ascii="仿宋" w:hAnsi="仿宋" w:eastAsia="仿宋" w:cs="仿宋"/>
          <w:color w:val="auto"/>
          <w:lang w:val="en-US"/>
        </w:rPr>
        <w:t>甲方</w:t>
      </w:r>
      <w:r>
        <w:rPr>
          <w:rFonts w:hint="eastAsia" w:ascii="仿宋" w:hAnsi="仿宋" w:eastAsia="仿宋" w:cs="仿宋"/>
          <w:color w:val="auto"/>
          <w:lang w:val="en-US" w:eastAsia="zh-CN"/>
        </w:rPr>
        <w:t>损失的，乙方还应当</w:t>
      </w:r>
      <w:r>
        <w:rPr>
          <w:rFonts w:hint="eastAsia" w:ascii="仿宋" w:hAnsi="仿宋" w:eastAsia="仿宋" w:cs="仿宋"/>
          <w:color w:val="auto"/>
          <w:lang w:val="en-US"/>
        </w:rPr>
        <w:t>继续</w:t>
      </w:r>
      <w:r>
        <w:rPr>
          <w:rFonts w:hint="eastAsia" w:ascii="仿宋" w:hAnsi="仿宋" w:eastAsia="仿宋" w:cs="仿宋"/>
          <w:color w:val="auto"/>
          <w:lang w:val="en-US" w:eastAsia="zh-CN"/>
        </w:rPr>
        <w:t>赔偿</w:t>
      </w:r>
      <w:r>
        <w:rPr>
          <w:rFonts w:hint="eastAsia" w:ascii="仿宋" w:hAnsi="仿宋" w:eastAsia="仿宋" w:cs="仿宋"/>
          <w:color w:val="auto"/>
          <w:lang w:val="en-US"/>
        </w:rPr>
        <w:t>（损失</w:t>
      </w:r>
      <w:r>
        <w:rPr>
          <w:rFonts w:hint="eastAsia" w:ascii="仿宋" w:hAnsi="仿宋" w:eastAsia="仿宋" w:cs="仿宋"/>
          <w:color w:val="auto"/>
        </w:rPr>
        <w:t>包括但不限于甲方为此支出的律师费、诉讼费、办案费、保全费等</w:t>
      </w:r>
      <w:r>
        <w:rPr>
          <w:rFonts w:hint="eastAsia" w:ascii="仿宋" w:hAnsi="仿宋" w:eastAsia="仿宋" w:cs="仿宋"/>
          <w:color w:val="auto"/>
          <w:lang w:val="en-US"/>
        </w:rPr>
        <w:t>）</w:t>
      </w:r>
      <w:r>
        <w:rPr>
          <w:rFonts w:hint="eastAsia" w:ascii="仿宋" w:hAnsi="仿宋" w:eastAsia="仿宋" w:cs="仿宋"/>
          <w:color w:val="auto"/>
          <w:lang w:val="en-US" w:eastAsia="zh-CN"/>
        </w:rPr>
        <w:t>。</w:t>
      </w:r>
    </w:p>
    <w:p>
      <w:pPr>
        <w:pStyle w:val="29"/>
        <w:shd w:val="clear" w:color="auto" w:fill="auto"/>
        <w:tabs>
          <w:tab w:val="left" w:pos="828"/>
        </w:tabs>
        <w:spacing w:before="0" w:beforeAutospacing="0" w:after="0" w:afterAutospacing="0" w:line="500" w:lineRule="exact"/>
        <w:ind w:firstLine="480" w:firstLineChars="200"/>
        <w:rPr>
          <w:rFonts w:hint="eastAsia" w:ascii="仿宋" w:hAnsi="仿宋" w:eastAsia="仿宋" w:cs="仿宋"/>
          <w:color w:val="auto"/>
          <w:spacing w:val="0"/>
          <w:w w:val="100"/>
          <w:position w:val="0"/>
          <w:sz w:val="24"/>
          <w:szCs w:val="24"/>
          <w:u w:val="none"/>
          <w:shd w:val="clear"/>
          <w:lang w:val="en-US" w:eastAsia="zh-CN" w:bidi="ar-SA"/>
        </w:rPr>
      </w:pPr>
      <w:bookmarkStart w:id="98" w:name="bookmark41"/>
      <w:r>
        <w:rPr>
          <w:rFonts w:hint="eastAsia" w:ascii="仿宋" w:hAnsi="仿宋" w:eastAsia="仿宋" w:cs="仿宋"/>
          <w:color w:val="auto"/>
          <w:spacing w:val="0"/>
          <w:w w:val="100"/>
          <w:position w:val="0"/>
          <w:sz w:val="24"/>
          <w:szCs w:val="24"/>
          <w:u w:val="none"/>
          <w:shd w:val="clear"/>
          <w:lang w:val="en-US" w:eastAsia="zh-CN" w:bidi="ar-SA"/>
        </w:rPr>
        <w:t>（十一）</w:t>
      </w:r>
      <w:bookmarkEnd w:id="98"/>
      <w:r>
        <w:rPr>
          <w:rFonts w:hint="eastAsia" w:ascii="仿宋" w:hAnsi="仿宋" w:eastAsia="仿宋" w:cs="仿宋"/>
          <w:color w:val="auto"/>
          <w:spacing w:val="0"/>
          <w:w w:val="100"/>
          <w:position w:val="0"/>
          <w:sz w:val="24"/>
          <w:szCs w:val="24"/>
          <w:u w:val="none"/>
          <w:shd w:val="clear"/>
          <w:lang w:val="en-US" w:eastAsia="zh-CN" w:bidi="ar-SA"/>
        </w:rPr>
        <w:t>合作期间内，若因不可抗力因素（如自然灾害、战争等）造成本协议无法正常履行，或因本协议内容与现行法律法规相抵触而使本协议失效时，双方互不承担责任。</w:t>
      </w:r>
    </w:p>
    <w:p>
      <w:pPr>
        <w:pStyle w:val="29"/>
        <w:shd w:val="clear" w:color="auto" w:fill="auto"/>
        <w:tabs>
          <w:tab w:val="left" w:pos="828"/>
        </w:tabs>
        <w:spacing w:line="500" w:lineRule="exact"/>
        <w:ind w:firstLine="480"/>
        <w:rPr>
          <w:rFonts w:ascii="仿宋" w:hAnsi="仿宋" w:eastAsia="仿宋" w:cs="仿宋"/>
          <w:b/>
          <w:bCs/>
          <w:color w:val="auto"/>
          <w:sz w:val="24"/>
        </w:rPr>
      </w:pPr>
      <w:r>
        <w:rPr>
          <w:rFonts w:hint="eastAsia" w:ascii="仿宋" w:hAnsi="仿宋" w:eastAsia="仿宋" w:cs="仿宋"/>
          <w:b/>
          <w:bCs/>
          <w:color w:val="auto"/>
          <w:sz w:val="24"/>
        </w:rPr>
        <w:t>七．风险及履约保证金</w:t>
      </w:r>
    </w:p>
    <w:p>
      <w:pPr>
        <w:spacing w:line="500" w:lineRule="exact"/>
        <w:ind w:firstLine="580"/>
        <w:rPr>
          <w:rFonts w:ascii="仿宋" w:hAnsi="仿宋" w:eastAsia="仿宋" w:cs="仿宋"/>
          <w:color w:val="auto"/>
          <w:sz w:val="24"/>
        </w:rPr>
      </w:pPr>
      <w:r>
        <w:rPr>
          <w:rFonts w:hint="eastAsia" w:ascii="仿宋" w:hAnsi="仿宋" w:eastAsia="仿宋" w:cs="仿宋"/>
          <w:color w:val="auto"/>
          <w:sz w:val="24"/>
        </w:rPr>
        <w:t>1.甲方应充分考虑到物价起伏等因素造成的投资成本增加后果。</w:t>
      </w:r>
    </w:p>
    <w:p>
      <w:pPr>
        <w:spacing w:line="500" w:lineRule="exact"/>
        <w:rPr>
          <w:rFonts w:ascii="仿宋" w:hAnsi="仿宋" w:eastAsia="仿宋" w:cs="仿宋"/>
          <w:color w:val="auto"/>
          <w:sz w:val="24"/>
        </w:rPr>
      </w:pPr>
      <w:r>
        <w:rPr>
          <w:rFonts w:hint="eastAsia" w:ascii="仿宋" w:hAnsi="仿宋" w:eastAsia="仿宋" w:cs="仿宋"/>
          <w:color w:val="auto"/>
          <w:sz w:val="24"/>
        </w:rPr>
        <w:t>　　 2.中标后，在</w:t>
      </w:r>
      <w:r>
        <w:rPr>
          <w:rFonts w:hint="eastAsia" w:ascii="仿宋" w:hAnsi="仿宋" w:eastAsia="仿宋" w:cs="仿宋"/>
          <w:color w:val="auto"/>
          <w:sz w:val="24"/>
          <w:lang w:val="en-US" w:eastAsia="zh-CN"/>
        </w:rPr>
        <w:t>7</w:t>
      </w:r>
      <w:r>
        <w:rPr>
          <w:rFonts w:hint="eastAsia" w:ascii="仿宋" w:hAnsi="仿宋" w:eastAsia="仿宋" w:cs="仿宋"/>
          <w:color w:val="auto"/>
          <w:sz w:val="24"/>
        </w:rPr>
        <w:t>日内签订合同，并按约定交纳履约保证金二十万元</w:t>
      </w:r>
      <w:r>
        <w:rPr>
          <w:rFonts w:hint="eastAsia" w:ascii="仿宋" w:hAnsi="仿宋" w:eastAsia="仿宋" w:cs="仿宋"/>
          <w:color w:val="auto"/>
          <w:sz w:val="24"/>
          <w:lang w:eastAsia="zh-CN"/>
        </w:rPr>
        <w:t>，</w:t>
      </w:r>
      <w:r>
        <w:rPr>
          <w:rFonts w:hint="eastAsia" w:ascii="仿宋" w:hAnsi="仿宋" w:eastAsia="仿宋" w:cs="仿宋"/>
          <w:color w:val="auto"/>
          <w:sz w:val="24"/>
        </w:rPr>
        <w:t>无违约扣罚的，保证金在合同期满后或经营终止时两个月内无息退还。</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2" w:firstLineChars="200"/>
        <w:rPr>
          <w:rFonts w:ascii="仿宋" w:hAnsi="仿宋" w:eastAsia="仿宋" w:cs="仿宋"/>
          <w:b/>
          <w:color w:val="auto"/>
          <w:sz w:val="24"/>
        </w:rPr>
      </w:pPr>
      <w:r>
        <w:rPr>
          <w:rFonts w:hint="eastAsia" w:ascii="仿宋" w:hAnsi="仿宋" w:eastAsia="仿宋" w:cs="仿宋"/>
          <w:b/>
          <w:color w:val="auto"/>
          <w:sz w:val="24"/>
        </w:rPr>
        <w:t>八、合同终止</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（一）合同到期时，若不续约则自动终止。</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（二）合同期内若一方有意终止合作，须提前</w:t>
      </w:r>
      <w:r>
        <w:rPr>
          <w:rFonts w:hint="eastAsia" w:ascii="仿宋" w:hAnsi="仿宋" w:eastAsia="仿宋" w:cs="仿宋"/>
          <w:color w:val="auto"/>
          <w:sz w:val="24"/>
          <w:lang w:val="en-US" w:eastAsia="zh-CN"/>
        </w:rPr>
        <w:t>6</w:t>
      </w:r>
      <w:r>
        <w:rPr>
          <w:rFonts w:hint="eastAsia" w:ascii="仿宋" w:hAnsi="仿宋" w:eastAsia="仿宋" w:cs="仿宋"/>
          <w:color w:val="auto"/>
          <w:sz w:val="24"/>
        </w:rPr>
        <w:t>0天书面通知对方，</w:t>
      </w:r>
      <w:r>
        <w:rPr>
          <w:rFonts w:hint="eastAsia" w:ascii="仿宋" w:hAnsi="仿宋" w:eastAsia="仿宋" w:cs="仿宋"/>
          <w:color w:val="auto"/>
          <w:sz w:val="24"/>
          <w:lang w:eastAsia="zh-CN"/>
        </w:rPr>
        <w:t>并征得对方同意。</w:t>
      </w:r>
      <w:r>
        <w:rPr>
          <w:rFonts w:hint="eastAsia" w:ascii="仿宋" w:hAnsi="仿宋" w:eastAsia="仿宋" w:cs="仿宋"/>
          <w:color w:val="auto"/>
          <w:sz w:val="24"/>
        </w:rPr>
        <w:t>若因</w:t>
      </w:r>
      <w:r>
        <w:rPr>
          <w:rFonts w:hint="eastAsia" w:ascii="仿宋" w:hAnsi="仿宋" w:eastAsia="仿宋" w:cs="仿宋"/>
          <w:color w:val="auto"/>
          <w:sz w:val="24"/>
          <w:lang w:eastAsia="zh-CN"/>
        </w:rPr>
        <w:t>乙方</w:t>
      </w:r>
      <w:r>
        <w:rPr>
          <w:rFonts w:hint="eastAsia" w:ascii="仿宋" w:hAnsi="仿宋" w:eastAsia="仿宋" w:cs="仿宋"/>
          <w:color w:val="auto"/>
          <w:sz w:val="24"/>
        </w:rPr>
        <w:t>的原因导致的</w:t>
      </w:r>
      <w:r>
        <w:rPr>
          <w:rFonts w:hint="eastAsia" w:ascii="仿宋" w:hAnsi="仿宋" w:eastAsia="仿宋" w:cs="仿宋"/>
          <w:color w:val="auto"/>
          <w:sz w:val="24"/>
          <w:lang w:eastAsia="zh-CN"/>
        </w:rPr>
        <w:t>甲</w:t>
      </w:r>
      <w:r>
        <w:rPr>
          <w:rFonts w:hint="eastAsia" w:ascii="仿宋" w:hAnsi="仿宋" w:eastAsia="仿宋" w:cs="仿宋"/>
          <w:color w:val="auto"/>
          <w:sz w:val="24"/>
        </w:rPr>
        <w:t>方单方解除或终止合同或</w:t>
      </w:r>
      <w:r>
        <w:rPr>
          <w:rFonts w:hint="eastAsia" w:ascii="仿宋" w:hAnsi="仿宋" w:eastAsia="仿宋" w:cs="仿宋"/>
          <w:color w:val="auto"/>
          <w:sz w:val="24"/>
          <w:lang w:eastAsia="zh-CN"/>
        </w:rPr>
        <w:t>乙</w:t>
      </w:r>
      <w:r>
        <w:rPr>
          <w:rFonts w:hint="eastAsia" w:ascii="仿宋" w:hAnsi="仿宋" w:eastAsia="仿宋" w:cs="仿宋"/>
          <w:color w:val="auto"/>
          <w:sz w:val="24"/>
        </w:rPr>
        <w:t>方无故提前终止合同的，</w:t>
      </w:r>
      <w:r>
        <w:rPr>
          <w:rFonts w:hint="eastAsia" w:ascii="仿宋" w:hAnsi="仿宋" w:eastAsia="仿宋" w:cs="仿宋"/>
          <w:color w:val="auto"/>
          <w:sz w:val="24"/>
          <w:lang w:eastAsia="zh-CN"/>
        </w:rPr>
        <w:t>甲</w:t>
      </w:r>
      <w:r>
        <w:rPr>
          <w:rFonts w:hint="eastAsia" w:ascii="仿宋" w:hAnsi="仿宋" w:eastAsia="仿宋" w:cs="仿宋"/>
          <w:color w:val="auto"/>
          <w:sz w:val="24"/>
        </w:rPr>
        <w:t>方有权保留该合同保证金作为违约金收取，不予以退还。若合同自然终止，且</w:t>
      </w:r>
      <w:r>
        <w:rPr>
          <w:rFonts w:hint="eastAsia" w:ascii="仿宋" w:hAnsi="仿宋" w:eastAsia="仿宋" w:cs="仿宋"/>
          <w:color w:val="auto"/>
          <w:sz w:val="24"/>
          <w:lang w:eastAsia="zh-CN"/>
        </w:rPr>
        <w:t>乙</w:t>
      </w:r>
      <w:r>
        <w:rPr>
          <w:rFonts w:hint="eastAsia" w:ascii="仿宋" w:hAnsi="仿宋" w:eastAsia="仿宋" w:cs="仿宋"/>
          <w:color w:val="auto"/>
          <w:sz w:val="24"/>
        </w:rPr>
        <w:t>方不存在违约赔偿责任</w:t>
      </w:r>
      <w:r>
        <w:rPr>
          <w:rFonts w:hint="eastAsia" w:ascii="仿宋" w:hAnsi="仿宋" w:eastAsia="仿宋" w:cs="仿宋"/>
          <w:color w:val="auto"/>
          <w:sz w:val="24"/>
          <w:lang w:eastAsia="zh-CN"/>
        </w:rPr>
        <w:t>、结清所有款项、办理所有交接手续后</w:t>
      </w:r>
      <w:r>
        <w:rPr>
          <w:rFonts w:hint="eastAsia" w:ascii="仿宋" w:hAnsi="仿宋" w:eastAsia="仿宋" w:cs="仿宋"/>
          <w:color w:val="auto"/>
          <w:sz w:val="24"/>
        </w:rPr>
        <w:t>招标方于合同终止两个月</w:t>
      </w:r>
      <w:r>
        <w:rPr>
          <w:rFonts w:hint="eastAsia" w:ascii="仿宋" w:hAnsi="仿宋" w:eastAsia="仿宋" w:cs="仿宋"/>
          <w:color w:val="auto"/>
          <w:sz w:val="24"/>
          <w:lang w:eastAsia="zh-CN"/>
        </w:rPr>
        <w:t>后</w:t>
      </w:r>
      <w:r>
        <w:rPr>
          <w:rFonts w:hint="eastAsia" w:ascii="仿宋" w:hAnsi="仿宋" w:eastAsia="仿宋" w:cs="仿宋"/>
          <w:color w:val="auto"/>
          <w:sz w:val="24"/>
        </w:rPr>
        <w:t>将该合同保证金无息全部退还。</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2" w:firstLineChars="200"/>
        <w:rPr>
          <w:rFonts w:ascii="仿宋" w:hAnsi="仿宋" w:eastAsia="仿宋" w:cs="仿宋"/>
          <w:color w:val="auto"/>
          <w:sz w:val="24"/>
        </w:rPr>
      </w:pPr>
      <w:r>
        <w:rPr>
          <w:rFonts w:hint="eastAsia" w:ascii="仿宋" w:hAnsi="仿宋" w:eastAsia="仿宋" w:cs="仿宋"/>
          <w:b/>
          <w:color w:val="auto"/>
          <w:sz w:val="24"/>
        </w:rPr>
        <w:t xml:space="preserve">九、 其它：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65"/>
        <w:rPr>
          <w:rFonts w:ascii="仿宋" w:hAnsi="仿宋" w:eastAsia="仿宋" w:cs="仿宋"/>
          <w:color w:val="auto"/>
          <w:sz w:val="24"/>
        </w:rPr>
      </w:pPr>
      <w:r>
        <w:rPr>
          <w:rFonts w:hint="eastAsia" w:ascii="仿宋" w:hAnsi="仿宋" w:eastAsia="仿宋" w:cs="仿宋"/>
          <w:color w:val="auto"/>
          <w:sz w:val="24"/>
        </w:rPr>
        <w:t xml:space="preserve">（一）如有未尽事宜，经双方协商一致。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（二）甲乙双方因合同履行发生其他争议时，双方应协商解决，协商不成，任何一方均可向甲方所在地人民法院起诉。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（三）本合同一式陆份，甲方执伍份，乙方执壹份，均具有同等法律效力，自甲乙双方签字盖章后生效。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仿宋" w:hAnsi="仿宋" w:eastAsia="仿宋" w:cs="仿宋"/>
          <w:color w:val="auto"/>
          <w:sz w:val="24"/>
        </w:rPr>
      </w:pPr>
      <w:r>
        <w:rPr>
          <w:rFonts w:hint="eastAsia" w:ascii="仿宋" w:hAnsi="仿宋" w:eastAsia="仿宋" w:cs="仿宋"/>
          <w:color w:val="auto"/>
          <w:sz w:val="24"/>
        </w:rPr>
        <w:t>合同附件：1.《员工食堂-固定资产》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仿宋" w:hAnsi="仿宋" w:eastAsia="仿宋" w:cs="仿宋"/>
          <w:color w:val="auto"/>
          <w:sz w:val="24"/>
        </w:rPr>
      </w:pPr>
      <w:r>
        <w:rPr>
          <w:rFonts w:hint="eastAsia" w:ascii="仿宋" w:hAnsi="仿宋" w:eastAsia="仿宋" w:cs="仿宋"/>
          <w:color w:val="auto"/>
          <w:sz w:val="24"/>
        </w:rPr>
        <w:t xml:space="preserve">          2.《员工食堂-易耗品》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3</w:t>
      </w:r>
      <w:r>
        <w:rPr>
          <w:rFonts w:hint="eastAsia" w:ascii="仿宋" w:hAnsi="仿宋" w:eastAsia="仿宋" w:cs="仿宋"/>
          <w:color w:val="auto"/>
          <w:sz w:val="24"/>
        </w:rPr>
        <w:t>.《菜单目录》</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4</w:t>
      </w:r>
      <w:r>
        <w:rPr>
          <w:rFonts w:hint="eastAsia" w:ascii="仿宋" w:hAnsi="仿宋" w:eastAsia="仿宋" w:cs="仿宋"/>
          <w:color w:val="auto"/>
          <w:sz w:val="24"/>
        </w:rPr>
        <w:t>.《</w:t>
      </w:r>
      <w:r>
        <w:rPr>
          <w:rFonts w:hint="eastAsia" w:ascii="仿宋" w:hAnsi="仿宋" w:eastAsia="仿宋" w:cs="仿宋"/>
          <w:color w:val="auto"/>
          <w:sz w:val="24"/>
          <w:lang w:eastAsia="zh-CN"/>
        </w:rPr>
        <w:t>餐饮服务食品</w:t>
      </w:r>
      <w:r>
        <w:rPr>
          <w:rFonts w:hint="eastAsia" w:ascii="仿宋" w:hAnsi="仿宋" w:eastAsia="仿宋" w:cs="仿宋"/>
          <w:color w:val="auto"/>
          <w:sz w:val="24"/>
        </w:rPr>
        <w:t>承诺书》</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5</w:t>
      </w:r>
      <w:r>
        <w:rPr>
          <w:rFonts w:hint="eastAsia" w:ascii="仿宋" w:hAnsi="仿宋" w:eastAsia="仿宋" w:cs="仿宋"/>
          <w:color w:val="auto"/>
          <w:sz w:val="24"/>
        </w:rPr>
        <w:t>.《安全生产责任状》</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6</w:t>
      </w:r>
      <w:r>
        <w:rPr>
          <w:rFonts w:hint="eastAsia" w:ascii="仿宋" w:hAnsi="仿宋" w:eastAsia="仿宋" w:cs="仿宋"/>
          <w:color w:val="auto"/>
          <w:sz w:val="24"/>
        </w:rPr>
        <w:t xml:space="preserve">.《考核标准》          </w:t>
      </w:r>
    </w:p>
    <w:p>
      <w:pPr>
        <w:spacing w:before="100" w:beforeAutospacing="1" w:after="100" w:afterAutospacing="1" w:line="500" w:lineRule="exact"/>
        <w:rPr>
          <w:rFonts w:ascii="仿宋" w:hAnsi="仿宋" w:eastAsia="仿宋" w:cs="仿宋"/>
          <w:color w:val="auto"/>
          <w:sz w:val="24"/>
        </w:rPr>
      </w:pPr>
      <w:bookmarkStart w:id="99" w:name="_Toc12317_WPSOffice_Level1"/>
      <w:r>
        <w:rPr>
          <w:rFonts w:hint="eastAsia" w:ascii="仿宋" w:hAnsi="仿宋" w:eastAsia="仿宋" w:cs="仿宋"/>
          <w:color w:val="auto"/>
          <w:sz w:val="24"/>
        </w:rPr>
        <w:t>甲   方（签章）：                        乙   方（签章）：</w:t>
      </w:r>
      <w:bookmarkEnd w:id="99"/>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仿宋" w:hAnsi="仿宋" w:eastAsia="仿宋" w:cs="仿宋"/>
          <w:color w:val="auto"/>
          <w:sz w:val="24"/>
        </w:rPr>
      </w:pPr>
      <w:r>
        <w:rPr>
          <w:rFonts w:hint="eastAsia" w:ascii="仿宋" w:hAnsi="仿宋" w:eastAsia="仿宋" w:cs="仿宋"/>
          <w:color w:val="auto"/>
          <w:sz w:val="24"/>
        </w:rPr>
        <w:t xml:space="preserve">法定代表人：                             法定代表人： </w:t>
      </w:r>
    </w:p>
    <w:p>
      <w:pPr>
        <w:spacing w:line="500" w:lineRule="exact"/>
        <w:rPr>
          <w:rFonts w:ascii="仿宋" w:hAnsi="仿宋" w:eastAsia="仿宋" w:cs="仿宋"/>
          <w:color w:val="auto"/>
          <w:sz w:val="24"/>
        </w:rPr>
      </w:pPr>
    </w:p>
    <w:p>
      <w:pPr>
        <w:spacing w:line="500" w:lineRule="exact"/>
        <w:rPr>
          <w:rFonts w:ascii="仿宋" w:hAnsi="仿宋" w:eastAsia="仿宋" w:cs="仿宋"/>
          <w:color w:val="auto"/>
          <w:sz w:val="24"/>
        </w:rPr>
      </w:pPr>
      <w:r>
        <w:rPr>
          <w:rFonts w:hint="eastAsia" w:ascii="仿宋" w:hAnsi="仿宋" w:eastAsia="仿宋" w:cs="仿宋"/>
          <w:color w:val="auto"/>
          <w:sz w:val="24"/>
        </w:rPr>
        <w:t xml:space="preserve">签约日期：   年   月   日           签约日期：   年   月   日  </w:t>
      </w:r>
    </w:p>
    <w:p>
      <w:pPr>
        <w:spacing w:line="420" w:lineRule="exact"/>
        <w:rPr>
          <w:rFonts w:ascii="仿宋" w:hAnsi="仿宋" w:eastAsia="仿宋" w:cs="仿宋"/>
          <w:color w:val="auto"/>
          <w:sz w:val="24"/>
        </w:rPr>
      </w:pPr>
    </w:p>
    <w:p>
      <w:pPr>
        <w:pStyle w:val="2"/>
        <w:rPr>
          <w:rFonts w:ascii="仿宋" w:hAnsi="仿宋" w:eastAsia="仿宋" w:cs="仿宋"/>
          <w:color w:val="auto"/>
          <w:sz w:val="24"/>
        </w:rPr>
      </w:pPr>
    </w:p>
    <w:p>
      <w:pPr>
        <w:rPr>
          <w:rFonts w:ascii="仿宋" w:hAnsi="仿宋" w:eastAsia="仿宋" w:cs="仿宋"/>
          <w:color w:val="auto"/>
          <w:sz w:val="24"/>
        </w:rPr>
      </w:pPr>
    </w:p>
    <w:p>
      <w:pPr>
        <w:pStyle w:val="2"/>
        <w:rPr>
          <w:rFonts w:ascii="仿宋" w:hAnsi="仿宋" w:eastAsia="仿宋" w:cs="仿宋"/>
          <w:color w:val="auto"/>
          <w:sz w:val="24"/>
        </w:rPr>
      </w:pPr>
    </w:p>
    <w:p>
      <w:pPr>
        <w:rPr>
          <w:rFonts w:ascii="仿宋" w:hAnsi="仿宋" w:eastAsia="仿宋" w:cs="仿宋"/>
          <w:color w:val="auto"/>
          <w:sz w:val="24"/>
        </w:rPr>
      </w:pPr>
    </w:p>
    <w:p>
      <w:pPr>
        <w:pStyle w:val="2"/>
        <w:rPr>
          <w:rFonts w:ascii="仿宋" w:hAnsi="仿宋" w:eastAsia="仿宋" w:cs="仿宋"/>
          <w:color w:val="auto"/>
          <w:sz w:val="24"/>
        </w:rPr>
      </w:pPr>
    </w:p>
    <w:p>
      <w:pPr>
        <w:rPr>
          <w:rFonts w:ascii="仿宋" w:hAnsi="仿宋" w:eastAsia="仿宋" w:cs="仿宋"/>
          <w:color w:val="auto"/>
          <w:sz w:val="24"/>
        </w:rPr>
      </w:pPr>
    </w:p>
    <w:p>
      <w:pPr>
        <w:rPr>
          <w:rFonts w:ascii="仿宋" w:hAnsi="仿宋" w:eastAsia="仿宋" w:cs="仿宋"/>
          <w:color w:val="auto"/>
          <w:sz w:val="24"/>
        </w:rPr>
      </w:pPr>
    </w:p>
    <w:p/>
    <w:p>
      <w:pPr>
        <w:pStyle w:val="2"/>
        <w:keepLines w:val="0"/>
        <w:widowControl/>
        <w:spacing w:before="0" w:after="0"/>
        <w:ind w:left="0" w:leftChars="0" w:firstLine="0" w:firstLineChars="0"/>
        <w:rPr>
          <w:rFonts w:hint="eastAsia" w:asciiTheme="minorEastAsia" w:hAnsiTheme="minorEastAsia" w:eastAsiaTheme="minorEastAsia" w:cstheme="minorEastAsia"/>
          <w:color w:val="auto"/>
          <w:sz w:val="24"/>
          <w:szCs w:val="24"/>
          <w:lang w:eastAsia="zh-CN"/>
        </w:rPr>
      </w:pPr>
    </w:p>
    <w:p>
      <w:pPr>
        <w:pStyle w:val="2"/>
        <w:keepLines w:val="0"/>
        <w:widowControl/>
        <w:spacing w:before="0" w:after="0"/>
        <w:ind w:left="0" w:leftChars="0" w:firstLine="0" w:firstLineChars="0"/>
        <w:rPr>
          <w:rFonts w:hint="eastAsia" w:asciiTheme="minorEastAsia" w:hAnsiTheme="minorEastAsia" w:eastAsiaTheme="minorEastAsia" w:cstheme="minorEastAsia"/>
          <w:color w:val="auto"/>
          <w:sz w:val="24"/>
          <w:szCs w:val="24"/>
          <w:lang w:eastAsia="zh-CN"/>
        </w:rPr>
      </w:pPr>
    </w:p>
    <w:p>
      <w:pPr>
        <w:pStyle w:val="2"/>
        <w:keepNext w:val="0"/>
        <w:keepLines w:val="0"/>
        <w:spacing w:before="0" w:after="0"/>
        <w:ind w:left="0" w:leftChars="0" w:firstLine="0" w:firstLineChars="0"/>
        <w:rPr>
          <w:rFonts w:hint="eastAsia" w:asciiTheme="minorEastAsia" w:hAnsiTheme="minorEastAsia" w:eastAsiaTheme="minorEastAsia" w:cstheme="minorEastAsia"/>
          <w:color w:val="auto"/>
          <w:sz w:val="24"/>
          <w:szCs w:val="24"/>
          <w:lang w:eastAsia="zh-CN"/>
        </w:rPr>
      </w:pPr>
    </w:p>
    <w:p>
      <w:pPr>
        <w:pStyle w:val="2"/>
        <w:keepNext w:val="0"/>
        <w:keepLines w:val="0"/>
        <w:spacing w:before="0" w:after="0"/>
        <w:ind w:left="0" w:leftChars="0" w:firstLine="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附</w:t>
      </w:r>
      <w:r>
        <w:rPr>
          <w:rFonts w:hint="eastAsia" w:asciiTheme="minorEastAsia" w:hAnsiTheme="minorEastAsia" w:eastAsiaTheme="minorEastAsia" w:cstheme="minorEastAsia"/>
          <w:color w:val="auto"/>
          <w:sz w:val="24"/>
          <w:szCs w:val="24"/>
        </w:rPr>
        <w:t>件</w:t>
      </w:r>
      <w:r>
        <w:rPr>
          <w:rFonts w:hint="eastAsia" w:asciiTheme="minorEastAsia" w:hAnsiTheme="minorEastAsia" w:eastAsiaTheme="minorEastAsia" w:cstheme="minorEastAsia"/>
          <w:color w:val="auto"/>
          <w:sz w:val="24"/>
          <w:szCs w:val="24"/>
          <w:lang w:eastAsia="zh-CN"/>
        </w:rPr>
        <w:t>一</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考核标准</w:t>
      </w:r>
    </w:p>
    <w:tbl>
      <w:tblPr>
        <w:tblStyle w:val="16"/>
        <w:tblW w:w="9058" w:type="dxa"/>
        <w:jc w:val="center"/>
        <w:tblLayout w:type="fixed"/>
        <w:tblCellMar>
          <w:top w:w="0" w:type="dxa"/>
          <w:left w:w="10" w:type="dxa"/>
          <w:bottom w:w="0" w:type="dxa"/>
          <w:right w:w="10" w:type="dxa"/>
        </w:tblCellMar>
      </w:tblPr>
      <w:tblGrid>
        <w:gridCol w:w="1124"/>
        <w:gridCol w:w="2357"/>
        <w:gridCol w:w="731"/>
        <w:gridCol w:w="921"/>
        <w:gridCol w:w="732"/>
        <w:gridCol w:w="623"/>
        <w:gridCol w:w="623"/>
        <w:gridCol w:w="1947"/>
      </w:tblGrid>
      <w:tr>
        <w:tblPrEx>
          <w:tblCellMar>
            <w:top w:w="0" w:type="dxa"/>
            <w:left w:w="10" w:type="dxa"/>
            <w:bottom w:w="0" w:type="dxa"/>
            <w:right w:w="10" w:type="dxa"/>
          </w:tblCellMar>
        </w:tblPrEx>
        <w:trPr>
          <w:trHeight w:val="665" w:hRule="exact"/>
          <w:jc w:val="center"/>
        </w:trPr>
        <w:tc>
          <w:tcPr>
            <w:tcW w:w="1124"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160"/>
              <w:jc w:val="left"/>
              <w:rPr>
                <w:color w:val="auto"/>
              </w:rPr>
            </w:pPr>
            <w:r>
              <w:rPr>
                <w:color w:val="auto"/>
                <w:spacing w:val="0"/>
                <w:w w:val="100"/>
                <w:position w:val="0"/>
              </w:rPr>
              <w:t>评分项目</w:t>
            </w:r>
          </w:p>
        </w:tc>
        <w:tc>
          <w:tcPr>
            <w:tcW w:w="2357" w:type="dxa"/>
            <w:tcBorders>
              <w:top w:val="single" w:color="auto" w:sz="4" w:space="0"/>
              <w:left w:val="single" w:color="auto" w:sz="4" w:space="0"/>
            </w:tcBorders>
            <w:shd w:val="clear" w:color="auto" w:fill="FFFFFF"/>
            <w:vAlign w:val="top"/>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rPr>
              <w:t>对下述问题请在框内打</w:t>
            </w:r>
          </w:p>
        </w:tc>
        <w:tc>
          <w:tcPr>
            <w:tcW w:w="73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rPr>
              <w:t>满意</w:t>
            </w:r>
          </w:p>
        </w:tc>
        <w:tc>
          <w:tcPr>
            <w:tcW w:w="92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rPr>
              <w:t>较满意</w:t>
            </w:r>
          </w:p>
        </w:tc>
        <w:tc>
          <w:tcPr>
            <w:tcW w:w="73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rPr>
              <w:t>一般</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left"/>
              <w:rPr>
                <w:color w:val="auto"/>
              </w:rPr>
            </w:pPr>
            <w:r>
              <w:rPr>
                <w:color w:val="auto"/>
                <w:spacing w:val="0"/>
                <w:w w:val="100"/>
                <w:position w:val="0"/>
              </w:rPr>
              <w:t>不好</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left"/>
              <w:rPr>
                <w:color w:val="auto"/>
              </w:rPr>
            </w:pPr>
            <w:r>
              <w:rPr>
                <w:color w:val="auto"/>
                <w:spacing w:val="0"/>
                <w:w w:val="100"/>
                <w:position w:val="0"/>
              </w:rPr>
              <w:t>很差</w:t>
            </w:r>
          </w:p>
        </w:tc>
        <w:tc>
          <w:tcPr>
            <w:tcW w:w="1947" w:type="dxa"/>
            <w:vMerge w:val="restart"/>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rPr>
              <w:t>对应问题简述</w:t>
            </w:r>
          </w:p>
        </w:tc>
      </w:tr>
      <w:tr>
        <w:tblPrEx>
          <w:tblCellMar>
            <w:top w:w="0" w:type="dxa"/>
            <w:left w:w="10" w:type="dxa"/>
            <w:bottom w:w="0" w:type="dxa"/>
            <w:right w:w="10" w:type="dxa"/>
          </w:tblCellMar>
        </w:tblPrEx>
        <w:trPr>
          <w:trHeight w:val="439" w:hRule="exact"/>
          <w:jc w:val="center"/>
        </w:trPr>
        <w:tc>
          <w:tcPr>
            <w:tcW w:w="1124" w:type="dxa"/>
            <w:vMerge w:val="continue"/>
            <w:tcBorders>
              <w:left w:val="single" w:color="auto" w:sz="4" w:space="0"/>
            </w:tcBorders>
            <w:shd w:val="clear" w:color="auto" w:fill="FFFFFF"/>
            <w:vAlign w:val="center"/>
          </w:tcPr>
          <w:p>
            <w:pPr>
              <w:rPr>
                <w:color w:val="auto"/>
              </w:rPr>
            </w:pPr>
          </w:p>
        </w:tc>
        <w:tc>
          <w:tcPr>
            <w:tcW w:w="235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440"/>
              <w:jc w:val="left"/>
              <w:rPr>
                <w:color w:val="auto"/>
              </w:rPr>
            </w:pPr>
            <w:r>
              <w:rPr>
                <w:color w:val="auto"/>
                <w:spacing w:val="0"/>
                <w:w w:val="100"/>
                <w:position w:val="0"/>
              </w:rPr>
              <w:t>对应每一项的分数</w:t>
            </w:r>
          </w:p>
        </w:tc>
        <w:tc>
          <w:tcPr>
            <w:tcW w:w="73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rFonts w:ascii="Times New Roman" w:hAnsi="Times New Roman" w:eastAsia="Times New Roman" w:cs="Times New Roman"/>
                <w:color w:val="auto"/>
                <w:spacing w:val="0"/>
                <w:w w:val="100"/>
                <w:position w:val="0"/>
                <w:sz w:val="20"/>
                <w:szCs w:val="20"/>
              </w:rPr>
              <w:t>5</w:t>
            </w:r>
            <w:r>
              <w:rPr>
                <w:color w:val="auto"/>
                <w:spacing w:val="0"/>
                <w:w w:val="100"/>
                <w:position w:val="0"/>
              </w:rPr>
              <w:t>分</w:t>
            </w:r>
          </w:p>
        </w:tc>
        <w:tc>
          <w:tcPr>
            <w:tcW w:w="92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rFonts w:ascii="Times New Roman" w:hAnsi="Times New Roman" w:eastAsia="Times New Roman" w:cs="Times New Roman"/>
                <w:color w:val="auto"/>
                <w:spacing w:val="0"/>
                <w:w w:val="100"/>
                <w:position w:val="0"/>
                <w:sz w:val="20"/>
                <w:szCs w:val="20"/>
              </w:rPr>
              <w:t>4</w:t>
            </w:r>
            <w:r>
              <w:rPr>
                <w:color w:val="auto"/>
                <w:spacing w:val="0"/>
                <w:w w:val="100"/>
                <w:position w:val="0"/>
              </w:rPr>
              <w:t>分</w:t>
            </w:r>
          </w:p>
        </w:tc>
        <w:tc>
          <w:tcPr>
            <w:tcW w:w="73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rFonts w:ascii="Times New Roman" w:hAnsi="Times New Roman" w:eastAsia="Times New Roman" w:cs="Times New Roman"/>
                <w:color w:val="auto"/>
                <w:spacing w:val="0"/>
                <w:w w:val="100"/>
                <w:position w:val="0"/>
                <w:sz w:val="20"/>
                <w:szCs w:val="20"/>
              </w:rPr>
              <w:t>3</w:t>
            </w:r>
            <w:r>
              <w:rPr>
                <w:color w:val="auto"/>
                <w:spacing w:val="0"/>
                <w:w w:val="100"/>
                <w:position w:val="0"/>
              </w:rPr>
              <w:t>分</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rFonts w:ascii="Times New Roman" w:hAnsi="Times New Roman" w:eastAsia="Times New Roman" w:cs="Times New Roman"/>
                <w:color w:val="auto"/>
                <w:spacing w:val="0"/>
                <w:w w:val="100"/>
                <w:position w:val="0"/>
                <w:sz w:val="20"/>
                <w:szCs w:val="20"/>
              </w:rPr>
              <w:t>2</w:t>
            </w:r>
            <w:r>
              <w:rPr>
                <w:color w:val="auto"/>
                <w:spacing w:val="0"/>
                <w:w w:val="100"/>
                <w:position w:val="0"/>
              </w:rPr>
              <w:t>分</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rFonts w:ascii="Times New Roman" w:hAnsi="Times New Roman" w:eastAsia="Times New Roman" w:cs="Times New Roman"/>
                <w:color w:val="auto"/>
                <w:spacing w:val="0"/>
                <w:w w:val="100"/>
                <w:position w:val="0"/>
                <w:sz w:val="20"/>
                <w:szCs w:val="20"/>
              </w:rPr>
              <w:t>1</w:t>
            </w:r>
            <w:r>
              <w:rPr>
                <w:color w:val="auto"/>
                <w:spacing w:val="0"/>
                <w:w w:val="100"/>
                <w:position w:val="0"/>
              </w:rPr>
              <w:t>分</w:t>
            </w:r>
          </w:p>
        </w:tc>
        <w:tc>
          <w:tcPr>
            <w:tcW w:w="1947" w:type="dxa"/>
            <w:vMerge w:val="continue"/>
            <w:tcBorders>
              <w:left w:val="single" w:color="auto" w:sz="4" w:space="0"/>
              <w:right w:val="single" w:color="auto" w:sz="4" w:space="0"/>
            </w:tcBorders>
            <w:shd w:val="clear" w:color="auto" w:fill="FFFFFF"/>
            <w:vAlign w:val="center"/>
          </w:tcPr>
          <w:p>
            <w:pPr>
              <w:rPr>
                <w:color w:val="auto"/>
              </w:rPr>
            </w:pPr>
          </w:p>
        </w:tc>
      </w:tr>
      <w:tr>
        <w:tblPrEx>
          <w:tblCellMar>
            <w:top w:w="0" w:type="dxa"/>
            <w:left w:w="10" w:type="dxa"/>
            <w:bottom w:w="0" w:type="dxa"/>
            <w:right w:w="10" w:type="dxa"/>
          </w:tblCellMar>
        </w:tblPrEx>
        <w:trPr>
          <w:trHeight w:val="383" w:hRule="exact"/>
          <w:jc w:val="center"/>
        </w:trPr>
        <w:tc>
          <w:tcPr>
            <w:tcW w:w="1124"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160"/>
              <w:jc w:val="left"/>
              <w:rPr>
                <w:color w:val="auto"/>
              </w:rPr>
            </w:pPr>
            <w:r>
              <w:rPr>
                <w:color w:val="auto"/>
                <w:spacing w:val="0"/>
                <w:w w:val="100"/>
                <w:position w:val="0"/>
              </w:rPr>
              <w:t>卫生状况</w:t>
            </w:r>
          </w:p>
        </w:tc>
        <w:tc>
          <w:tcPr>
            <w:tcW w:w="235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rPr>
              <w:t>个人卫生</w:t>
            </w:r>
          </w:p>
        </w:tc>
        <w:tc>
          <w:tcPr>
            <w:tcW w:w="73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60"/>
              <w:jc w:val="left"/>
              <w:rPr>
                <w:rFonts w:hint="eastAsia" w:eastAsia="宋体"/>
                <w:color w:val="auto"/>
                <w:lang w:eastAsia="zh-CN"/>
              </w:rPr>
            </w:pPr>
            <w:r>
              <w:rPr>
                <w:rFonts w:hint="eastAsia"/>
                <w:color w:val="auto"/>
                <w:spacing w:val="0"/>
                <w:w w:val="100"/>
                <w:position w:val="0"/>
                <w:lang w:val="en-US" w:eastAsia="zh-CN" w:bidi="en-US"/>
              </w:rPr>
              <w:t>□</w:t>
            </w:r>
          </w:p>
        </w:tc>
        <w:tc>
          <w:tcPr>
            <w:tcW w:w="92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73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1947" w:type="dxa"/>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rPr>
            </w:pPr>
          </w:p>
        </w:tc>
      </w:tr>
      <w:tr>
        <w:tblPrEx>
          <w:tblCellMar>
            <w:top w:w="0" w:type="dxa"/>
            <w:left w:w="10" w:type="dxa"/>
            <w:bottom w:w="0" w:type="dxa"/>
            <w:right w:w="10" w:type="dxa"/>
          </w:tblCellMar>
        </w:tblPrEx>
        <w:trPr>
          <w:trHeight w:val="383" w:hRule="exact"/>
          <w:jc w:val="center"/>
        </w:trPr>
        <w:tc>
          <w:tcPr>
            <w:tcW w:w="1124" w:type="dxa"/>
            <w:vMerge w:val="continue"/>
            <w:tcBorders>
              <w:left w:val="single" w:color="auto" w:sz="4" w:space="0"/>
            </w:tcBorders>
            <w:shd w:val="clear" w:color="auto" w:fill="FFFFFF"/>
            <w:vAlign w:val="center"/>
          </w:tcPr>
          <w:p>
            <w:pPr>
              <w:rPr>
                <w:color w:val="auto"/>
              </w:rPr>
            </w:pPr>
          </w:p>
        </w:tc>
        <w:tc>
          <w:tcPr>
            <w:tcW w:w="235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rPr>
              <w:t>饭菜卫生</w:t>
            </w:r>
          </w:p>
        </w:tc>
        <w:tc>
          <w:tcPr>
            <w:tcW w:w="73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60"/>
              <w:jc w:val="left"/>
              <w:rPr>
                <w:color w:val="auto"/>
              </w:rPr>
            </w:pPr>
            <w:r>
              <w:rPr>
                <w:color w:val="auto"/>
                <w:spacing w:val="0"/>
                <w:w w:val="100"/>
                <w:position w:val="0"/>
                <w:lang w:val="en-US" w:eastAsia="en-US" w:bidi="en-US"/>
              </w:rPr>
              <w:t>□</w:t>
            </w:r>
          </w:p>
        </w:tc>
        <w:tc>
          <w:tcPr>
            <w:tcW w:w="92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73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1947" w:type="dxa"/>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rPr>
            </w:pPr>
          </w:p>
        </w:tc>
      </w:tr>
      <w:tr>
        <w:tblPrEx>
          <w:tblCellMar>
            <w:top w:w="0" w:type="dxa"/>
            <w:left w:w="10" w:type="dxa"/>
            <w:bottom w:w="0" w:type="dxa"/>
            <w:right w:w="10" w:type="dxa"/>
          </w:tblCellMar>
        </w:tblPrEx>
        <w:trPr>
          <w:trHeight w:val="371" w:hRule="exact"/>
          <w:jc w:val="center"/>
        </w:trPr>
        <w:tc>
          <w:tcPr>
            <w:tcW w:w="1124" w:type="dxa"/>
            <w:vMerge w:val="continue"/>
            <w:tcBorders>
              <w:left w:val="single" w:color="auto" w:sz="4" w:space="0"/>
            </w:tcBorders>
            <w:shd w:val="clear" w:color="auto" w:fill="FFFFFF"/>
            <w:vAlign w:val="center"/>
          </w:tcPr>
          <w:p>
            <w:pPr>
              <w:rPr>
                <w:color w:val="auto"/>
              </w:rPr>
            </w:pPr>
          </w:p>
        </w:tc>
        <w:tc>
          <w:tcPr>
            <w:tcW w:w="235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rPr>
              <w:t>餐具卫生</w:t>
            </w:r>
          </w:p>
        </w:tc>
        <w:tc>
          <w:tcPr>
            <w:tcW w:w="73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60"/>
              <w:jc w:val="left"/>
              <w:rPr>
                <w:color w:val="auto"/>
              </w:rPr>
            </w:pPr>
            <w:r>
              <w:rPr>
                <w:color w:val="auto"/>
                <w:spacing w:val="0"/>
                <w:w w:val="100"/>
                <w:position w:val="0"/>
                <w:lang w:val="en-US" w:eastAsia="en-US" w:bidi="en-US"/>
              </w:rPr>
              <w:t>□</w:t>
            </w:r>
          </w:p>
        </w:tc>
        <w:tc>
          <w:tcPr>
            <w:tcW w:w="92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73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1947" w:type="dxa"/>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rPr>
            </w:pPr>
          </w:p>
        </w:tc>
      </w:tr>
      <w:tr>
        <w:tblPrEx>
          <w:tblCellMar>
            <w:top w:w="0" w:type="dxa"/>
            <w:left w:w="10" w:type="dxa"/>
            <w:bottom w:w="0" w:type="dxa"/>
            <w:right w:w="10" w:type="dxa"/>
          </w:tblCellMar>
        </w:tblPrEx>
        <w:trPr>
          <w:trHeight w:val="383" w:hRule="exact"/>
          <w:jc w:val="center"/>
        </w:trPr>
        <w:tc>
          <w:tcPr>
            <w:tcW w:w="1124" w:type="dxa"/>
            <w:vMerge w:val="continue"/>
            <w:tcBorders>
              <w:left w:val="single" w:color="auto" w:sz="4" w:space="0"/>
            </w:tcBorders>
            <w:shd w:val="clear" w:color="auto" w:fill="FFFFFF"/>
            <w:vAlign w:val="center"/>
          </w:tcPr>
          <w:p>
            <w:pPr>
              <w:rPr>
                <w:color w:val="auto"/>
              </w:rPr>
            </w:pPr>
          </w:p>
        </w:tc>
        <w:tc>
          <w:tcPr>
            <w:tcW w:w="235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rPr>
              <w:t>食堂卫生</w:t>
            </w:r>
          </w:p>
        </w:tc>
        <w:tc>
          <w:tcPr>
            <w:tcW w:w="73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60"/>
              <w:jc w:val="left"/>
              <w:rPr>
                <w:color w:val="auto"/>
              </w:rPr>
            </w:pPr>
            <w:r>
              <w:rPr>
                <w:color w:val="auto"/>
                <w:spacing w:val="0"/>
                <w:w w:val="100"/>
                <w:position w:val="0"/>
                <w:lang w:val="en-US" w:eastAsia="en-US" w:bidi="en-US"/>
              </w:rPr>
              <w:t>□</w:t>
            </w:r>
          </w:p>
        </w:tc>
        <w:tc>
          <w:tcPr>
            <w:tcW w:w="92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73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1947" w:type="dxa"/>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rPr>
            </w:pPr>
          </w:p>
        </w:tc>
      </w:tr>
      <w:tr>
        <w:tblPrEx>
          <w:tblCellMar>
            <w:top w:w="0" w:type="dxa"/>
            <w:left w:w="10" w:type="dxa"/>
            <w:bottom w:w="0" w:type="dxa"/>
            <w:right w:w="10" w:type="dxa"/>
          </w:tblCellMar>
        </w:tblPrEx>
        <w:trPr>
          <w:trHeight w:val="383" w:hRule="exact"/>
          <w:jc w:val="center"/>
        </w:trPr>
        <w:tc>
          <w:tcPr>
            <w:tcW w:w="1124" w:type="dxa"/>
            <w:tcBorders>
              <w:left w:val="single" w:color="auto" w:sz="4" w:space="0"/>
            </w:tcBorders>
            <w:shd w:val="clear" w:color="auto" w:fill="FFFFFF"/>
            <w:vAlign w:val="center"/>
          </w:tcPr>
          <w:p>
            <w:pPr>
              <w:rPr>
                <w:color w:val="auto"/>
              </w:rPr>
            </w:pPr>
          </w:p>
        </w:tc>
        <w:tc>
          <w:tcPr>
            <w:tcW w:w="235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eastAsia="宋体"/>
                <w:color w:val="auto"/>
                <w:spacing w:val="0"/>
                <w:w w:val="100"/>
                <w:position w:val="0"/>
                <w:lang w:eastAsia="zh-CN"/>
              </w:rPr>
            </w:pPr>
            <w:r>
              <w:rPr>
                <w:rFonts w:hint="eastAsia"/>
                <w:color w:val="auto"/>
                <w:spacing w:val="0"/>
                <w:w w:val="100"/>
                <w:position w:val="0"/>
                <w:lang w:eastAsia="zh-CN"/>
              </w:rPr>
              <w:t>消毒情况</w:t>
            </w:r>
          </w:p>
        </w:tc>
        <w:tc>
          <w:tcPr>
            <w:tcW w:w="73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leftChars="0" w:right="0" w:rightChars="0" w:firstLine="260" w:firstLineChars="0"/>
              <w:jc w:val="left"/>
              <w:rPr>
                <w:color w:val="auto"/>
                <w:spacing w:val="0"/>
                <w:w w:val="100"/>
                <w:position w:val="0"/>
                <w:lang w:val="en-US" w:eastAsia="en-US" w:bidi="en-US"/>
              </w:rPr>
            </w:pPr>
            <w:r>
              <w:rPr>
                <w:color w:val="auto"/>
                <w:spacing w:val="0"/>
                <w:w w:val="100"/>
                <w:position w:val="0"/>
                <w:lang w:val="en-US" w:eastAsia="en-US" w:bidi="en-US"/>
              </w:rPr>
              <w:t>□</w:t>
            </w:r>
          </w:p>
        </w:tc>
        <w:tc>
          <w:tcPr>
            <w:tcW w:w="92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leftChars="0" w:right="0" w:rightChars="0" w:firstLine="0" w:firstLineChars="0"/>
              <w:jc w:val="center"/>
              <w:rPr>
                <w:color w:val="auto"/>
                <w:spacing w:val="0"/>
                <w:w w:val="100"/>
                <w:position w:val="0"/>
                <w:lang w:val="en-US" w:eastAsia="en-US" w:bidi="en-US"/>
              </w:rPr>
            </w:pPr>
            <w:r>
              <w:rPr>
                <w:color w:val="auto"/>
                <w:spacing w:val="0"/>
                <w:w w:val="100"/>
                <w:position w:val="0"/>
                <w:lang w:val="en-US" w:eastAsia="en-US" w:bidi="en-US"/>
              </w:rPr>
              <w:t>□</w:t>
            </w:r>
          </w:p>
        </w:tc>
        <w:tc>
          <w:tcPr>
            <w:tcW w:w="73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leftChars="0" w:right="0" w:rightChars="0" w:firstLine="0" w:firstLineChars="0"/>
              <w:jc w:val="center"/>
              <w:rPr>
                <w:color w:val="auto"/>
                <w:spacing w:val="0"/>
                <w:w w:val="100"/>
                <w:position w:val="0"/>
                <w:lang w:val="en-US" w:eastAsia="en-US" w:bidi="en-US"/>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leftChars="0" w:right="0" w:rightChars="0" w:firstLine="220" w:firstLineChars="0"/>
              <w:jc w:val="left"/>
              <w:rPr>
                <w:color w:val="auto"/>
                <w:spacing w:val="0"/>
                <w:w w:val="100"/>
                <w:position w:val="0"/>
                <w:lang w:val="en-US" w:eastAsia="en-US" w:bidi="en-US"/>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leftChars="0" w:right="0" w:rightChars="0" w:firstLine="0" w:firstLineChars="0"/>
              <w:jc w:val="center"/>
              <w:rPr>
                <w:color w:val="auto"/>
                <w:spacing w:val="0"/>
                <w:w w:val="100"/>
                <w:position w:val="0"/>
                <w:lang w:val="en-US" w:eastAsia="en-US" w:bidi="en-US"/>
              </w:rPr>
            </w:pPr>
            <w:r>
              <w:rPr>
                <w:color w:val="auto"/>
                <w:spacing w:val="0"/>
                <w:w w:val="100"/>
                <w:position w:val="0"/>
                <w:lang w:val="en-US" w:eastAsia="en-US" w:bidi="en-US"/>
              </w:rPr>
              <w:t>□</w:t>
            </w:r>
          </w:p>
        </w:tc>
        <w:tc>
          <w:tcPr>
            <w:tcW w:w="1947" w:type="dxa"/>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rPr>
            </w:pPr>
          </w:p>
        </w:tc>
      </w:tr>
      <w:tr>
        <w:tblPrEx>
          <w:tblCellMar>
            <w:top w:w="0" w:type="dxa"/>
            <w:left w:w="10" w:type="dxa"/>
            <w:bottom w:w="0" w:type="dxa"/>
            <w:right w:w="10" w:type="dxa"/>
          </w:tblCellMar>
        </w:tblPrEx>
        <w:trPr>
          <w:trHeight w:val="383" w:hRule="exact"/>
          <w:jc w:val="center"/>
        </w:trPr>
        <w:tc>
          <w:tcPr>
            <w:tcW w:w="1124"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160"/>
              <w:jc w:val="left"/>
              <w:rPr>
                <w:color w:val="auto"/>
              </w:rPr>
            </w:pPr>
            <w:r>
              <w:rPr>
                <w:color w:val="auto"/>
                <w:spacing w:val="0"/>
                <w:w w:val="100"/>
                <w:position w:val="0"/>
              </w:rPr>
              <w:t>饭菜质暈</w:t>
            </w:r>
          </w:p>
        </w:tc>
        <w:tc>
          <w:tcPr>
            <w:tcW w:w="235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rPr>
              <w:t>早餐样式</w:t>
            </w:r>
          </w:p>
        </w:tc>
        <w:tc>
          <w:tcPr>
            <w:tcW w:w="73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60"/>
              <w:jc w:val="left"/>
              <w:rPr>
                <w:color w:val="auto"/>
              </w:rPr>
            </w:pPr>
            <w:r>
              <w:rPr>
                <w:color w:val="auto"/>
                <w:spacing w:val="0"/>
                <w:w w:val="100"/>
                <w:position w:val="0"/>
                <w:lang w:val="en-US" w:eastAsia="en-US" w:bidi="en-US"/>
              </w:rPr>
              <w:t>□</w:t>
            </w:r>
          </w:p>
        </w:tc>
        <w:tc>
          <w:tcPr>
            <w:tcW w:w="92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73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1947" w:type="dxa"/>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rPr>
            </w:pPr>
          </w:p>
        </w:tc>
      </w:tr>
      <w:tr>
        <w:tblPrEx>
          <w:tblCellMar>
            <w:top w:w="0" w:type="dxa"/>
            <w:left w:w="10" w:type="dxa"/>
            <w:bottom w:w="0" w:type="dxa"/>
            <w:right w:w="10" w:type="dxa"/>
          </w:tblCellMar>
        </w:tblPrEx>
        <w:trPr>
          <w:trHeight w:val="383" w:hRule="exact"/>
          <w:jc w:val="center"/>
        </w:trPr>
        <w:tc>
          <w:tcPr>
            <w:tcW w:w="1124" w:type="dxa"/>
            <w:vMerge w:val="continue"/>
            <w:tcBorders>
              <w:left w:val="single" w:color="auto" w:sz="4" w:space="0"/>
            </w:tcBorders>
            <w:shd w:val="clear" w:color="auto" w:fill="FFFFFF"/>
            <w:vAlign w:val="center"/>
          </w:tcPr>
          <w:p>
            <w:pPr>
              <w:rPr>
                <w:color w:val="auto"/>
              </w:rPr>
            </w:pPr>
          </w:p>
        </w:tc>
        <w:tc>
          <w:tcPr>
            <w:tcW w:w="235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rPr>
              <w:t>饭菜品种、荤素搭配</w:t>
            </w:r>
          </w:p>
        </w:tc>
        <w:tc>
          <w:tcPr>
            <w:tcW w:w="73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60"/>
              <w:jc w:val="left"/>
              <w:rPr>
                <w:color w:val="auto"/>
              </w:rPr>
            </w:pPr>
            <w:r>
              <w:rPr>
                <w:color w:val="auto"/>
                <w:spacing w:val="0"/>
                <w:w w:val="100"/>
                <w:position w:val="0"/>
                <w:lang w:val="en-US" w:eastAsia="en-US" w:bidi="en-US"/>
              </w:rPr>
              <w:t>□</w:t>
            </w:r>
          </w:p>
        </w:tc>
        <w:tc>
          <w:tcPr>
            <w:tcW w:w="92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73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1947" w:type="dxa"/>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rPr>
            </w:pPr>
          </w:p>
        </w:tc>
      </w:tr>
      <w:tr>
        <w:tblPrEx>
          <w:tblCellMar>
            <w:top w:w="0" w:type="dxa"/>
            <w:left w:w="10" w:type="dxa"/>
            <w:bottom w:w="0" w:type="dxa"/>
            <w:right w:w="10" w:type="dxa"/>
          </w:tblCellMar>
        </w:tblPrEx>
        <w:trPr>
          <w:trHeight w:val="371" w:hRule="exact"/>
          <w:jc w:val="center"/>
        </w:trPr>
        <w:tc>
          <w:tcPr>
            <w:tcW w:w="1124" w:type="dxa"/>
            <w:vMerge w:val="continue"/>
            <w:tcBorders>
              <w:left w:val="single" w:color="auto" w:sz="4" w:space="0"/>
            </w:tcBorders>
            <w:shd w:val="clear" w:color="auto" w:fill="FFFFFF"/>
            <w:vAlign w:val="center"/>
          </w:tcPr>
          <w:p>
            <w:pPr>
              <w:rPr>
                <w:color w:val="auto"/>
              </w:rPr>
            </w:pPr>
          </w:p>
        </w:tc>
        <w:tc>
          <w:tcPr>
            <w:tcW w:w="235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rPr>
              <w:t>饭菜新鲜程度</w:t>
            </w:r>
          </w:p>
        </w:tc>
        <w:tc>
          <w:tcPr>
            <w:tcW w:w="73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60"/>
              <w:jc w:val="left"/>
              <w:rPr>
                <w:color w:val="auto"/>
              </w:rPr>
            </w:pPr>
            <w:r>
              <w:rPr>
                <w:color w:val="auto"/>
                <w:spacing w:val="0"/>
                <w:w w:val="100"/>
                <w:position w:val="0"/>
                <w:lang w:val="en-US" w:eastAsia="en-US" w:bidi="en-US"/>
              </w:rPr>
              <w:t>□</w:t>
            </w:r>
          </w:p>
        </w:tc>
        <w:tc>
          <w:tcPr>
            <w:tcW w:w="92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73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1947" w:type="dxa"/>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rPr>
            </w:pPr>
          </w:p>
        </w:tc>
      </w:tr>
      <w:tr>
        <w:tblPrEx>
          <w:tblCellMar>
            <w:top w:w="0" w:type="dxa"/>
            <w:left w:w="10" w:type="dxa"/>
            <w:bottom w:w="0" w:type="dxa"/>
            <w:right w:w="10" w:type="dxa"/>
          </w:tblCellMar>
        </w:tblPrEx>
        <w:trPr>
          <w:trHeight w:val="383" w:hRule="exact"/>
          <w:jc w:val="center"/>
        </w:trPr>
        <w:tc>
          <w:tcPr>
            <w:tcW w:w="1124" w:type="dxa"/>
            <w:vMerge w:val="continue"/>
            <w:tcBorders>
              <w:left w:val="single" w:color="auto" w:sz="4" w:space="0"/>
            </w:tcBorders>
            <w:shd w:val="clear" w:color="auto" w:fill="FFFFFF"/>
            <w:vAlign w:val="center"/>
          </w:tcPr>
          <w:p>
            <w:pPr>
              <w:rPr>
                <w:color w:val="auto"/>
              </w:rPr>
            </w:pPr>
          </w:p>
        </w:tc>
        <w:tc>
          <w:tcPr>
            <w:tcW w:w="235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440"/>
              <w:jc w:val="left"/>
              <w:rPr>
                <w:color w:val="auto"/>
              </w:rPr>
            </w:pPr>
            <w:r>
              <w:rPr>
                <w:color w:val="auto"/>
                <w:spacing w:val="0"/>
                <w:w w:val="100"/>
                <w:position w:val="0"/>
              </w:rPr>
              <w:t>饭莱有无异物出现</w:t>
            </w:r>
          </w:p>
        </w:tc>
        <w:tc>
          <w:tcPr>
            <w:tcW w:w="73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60"/>
              <w:jc w:val="left"/>
              <w:rPr>
                <w:color w:val="auto"/>
              </w:rPr>
            </w:pPr>
            <w:r>
              <w:rPr>
                <w:color w:val="auto"/>
                <w:spacing w:val="0"/>
                <w:w w:val="100"/>
                <w:position w:val="0"/>
                <w:lang w:val="en-US" w:eastAsia="en-US" w:bidi="en-US"/>
              </w:rPr>
              <w:t>□</w:t>
            </w:r>
          </w:p>
        </w:tc>
        <w:tc>
          <w:tcPr>
            <w:tcW w:w="92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73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1947" w:type="dxa"/>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rPr>
            </w:pPr>
          </w:p>
        </w:tc>
      </w:tr>
      <w:tr>
        <w:tblPrEx>
          <w:tblCellMar>
            <w:top w:w="0" w:type="dxa"/>
            <w:left w:w="10" w:type="dxa"/>
            <w:bottom w:w="0" w:type="dxa"/>
            <w:right w:w="10" w:type="dxa"/>
          </w:tblCellMar>
        </w:tblPrEx>
        <w:trPr>
          <w:trHeight w:val="383" w:hRule="exact"/>
          <w:jc w:val="center"/>
        </w:trPr>
        <w:tc>
          <w:tcPr>
            <w:tcW w:w="1124" w:type="dxa"/>
            <w:vMerge w:val="continue"/>
            <w:tcBorders>
              <w:left w:val="single" w:color="auto" w:sz="4" w:space="0"/>
            </w:tcBorders>
            <w:shd w:val="clear" w:color="auto" w:fill="FFFFFF"/>
            <w:vAlign w:val="center"/>
          </w:tcPr>
          <w:p>
            <w:pPr>
              <w:rPr>
                <w:color w:val="auto"/>
              </w:rPr>
            </w:pPr>
          </w:p>
        </w:tc>
        <w:tc>
          <w:tcPr>
            <w:tcW w:w="235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eastAsia="宋体"/>
                <w:color w:val="auto"/>
                <w:lang w:eastAsia="zh-CN"/>
              </w:rPr>
            </w:pPr>
            <w:r>
              <w:rPr>
                <w:rFonts w:hint="eastAsia"/>
                <w:color w:val="auto"/>
                <w:spacing w:val="0"/>
                <w:w w:val="100"/>
                <w:position w:val="0"/>
                <w:lang w:eastAsia="zh-CN"/>
              </w:rPr>
              <w:t>饭菜口味</w:t>
            </w:r>
          </w:p>
        </w:tc>
        <w:tc>
          <w:tcPr>
            <w:tcW w:w="73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60"/>
              <w:jc w:val="left"/>
              <w:rPr>
                <w:color w:val="auto"/>
              </w:rPr>
            </w:pPr>
            <w:r>
              <w:rPr>
                <w:color w:val="auto"/>
                <w:spacing w:val="0"/>
                <w:w w:val="100"/>
                <w:position w:val="0"/>
                <w:lang w:val="en-US" w:eastAsia="en-US" w:bidi="en-US"/>
              </w:rPr>
              <w:t>□</w:t>
            </w:r>
          </w:p>
        </w:tc>
        <w:tc>
          <w:tcPr>
            <w:tcW w:w="92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73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1947" w:type="dxa"/>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rPr>
            </w:pPr>
          </w:p>
        </w:tc>
      </w:tr>
      <w:tr>
        <w:tblPrEx>
          <w:tblCellMar>
            <w:top w:w="0" w:type="dxa"/>
            <w:left w:w="10" w:type="dxa"/>
            <w:bottom w:w="0" w:type="dxa"/>
            <w:right w:w="10" w:type="dxa"/>
          </w:tblCellMar>
        </w:tblPrEx>
        <w:trPr>
          <w:trHeight w:val="383" w:hRule="exact"/>
          <w:jc w:val="center"/>
        </w:trPr>
        <w:tc>
          <w:tcPr>
            <w:tcW w:w="1124" w:type="dxa"/>
            <w:vMerge w:val="continue"/>
            <w:tcBorders>
              <w:left w:val="single" w:color="auto" w:sz="4" w:space="0"/>
            </w:tcBorders>
            <w:shd w:val="clear" w:color="auto" w:fill="FFFFFF"/>
            <w:vAlign w:val="center"/>
          </w:tcPr>
          <w:p>
            <w:pPr>
              <w:rPr>
                <w:color w:val="auto"/>
              </w:rPr>
            </w:pPr>
          </w:p>
        </w:tc>
        <w:tc>
          <w:tcPr>
            <w:tcW w:w="235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left"/>
              <w:rPr>
                <w:color w:val="auto"/>
              </w:rPr>
            </w:pPr>
            <w:r>
              <w:rPr>
                <w:color w:val="auto"/>
                <w:spacing w:val="0"/>
                <w:w w:val="100"/>
                <w:position w:val="0"/>
              </w:rPr>
              <w:t>饭菜份量是否充足，无浪费</w:t>
            </w:r>
          </w:p>
        </w:tc>
        <w:tc>
          <w:tcPr>
            <w:tcW w:w="73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60"/>
              <w:jc w:val="left"/>
              <w:rPr>
                <w:color w:val="auto"/>
              </w:rPr>
            </w:pPr>
            <w:r>
              <w:rPr>
                <w:color w:val="auto"/>
                <w:spacing w:val="0"/>
                <w:w w:val="100"/>
                <w:position w:val="0"/>
                <w:lang w:val="en-US" w:eastAsia="en-US" w:bidi="en-US"/>
              </w:rPr>
              <w:t>□</w:t>
            </w:r>
          </w:p>
        </w:tc>
        <w:tc>
          <w:tcPr>
            <w:tcW w:w="92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73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1947" w:type="dxa"/>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rPr>
            </w:pPr>
          </w:p>
        </w:tc>
      </w:tr>
      <w:tr>
        <w:tblPrEx>
          <w:tblCellMar>
            <w:top w:w="0" w:type="dxa"/>
            <w:left w:w="10" w:type="dxa"/>
            <w:bottom w:w="0" w:type="dxa"/>
            <w:right w:w="10" w:type="dxa"/>
          </w:tblCellMar>
        </w:tblPrEx>
        <w:trPr>
          <w:trHeight w:val="420" w:hRule="exact"/>
          <w:jc w:val="center"/>
        </w:trPr>
        <w:tc>
          <w:tcPr>
            <w:tcW w:w="1124"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160"/>
              <w:jc w:val="left"/>
              <w:rPr>
                <w:color w:val="auto"/>
              </w:rPr>
            </w:pPr>
            <w:r>
              <w:rPr>
                <w:color w:val="auto"/>
                <w:spacing w:val="0"/>
                <w:w w:val="100"/>
                <w:position w:val="0"/>
              </w:rPr>
              <w:t>服务态度</w:t>
            </w:r>
          </w:p>
        </w:tc>
        <w:tc>
          <w:tcPr>
            <w:tcW w:w="2357"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440"/>
              <w:jc w:val="left"/>
              <w:rPr>
                <w:b w:val="0"/>
                <w:bCs w:val="0"/>
                <w:i w:val="0"/>
                <w:iCs w:val="0"/>
                <w:smallCaps w:val="0"/>
                <w:strike w:val="0"/>
                <w:color w:val="auto"/>
                <w:spacing w:val="0"/>
                <w:w w:val="100"/>
                <w:position w:val="0"/>
              </w:rPr>
            </w:pPr>
            <w:r>
              <w:rPr>
                <w:b w:val="0"/>
                <w:bCs w:val="0"/>
                <w:i w:val="0"/>
                <w:iCs w:val="0"/>
                <w:smallCaps w:val="0"/>
                <w:strike w:val="0"/>
                <w:color w:val="auto"/>
                <w:spacing w:val="0"/>
                <w:w w:val="100"/>
                <w:position w:val="0"/>
              </w:rPr>
              <w:t>打饭是否一视同仁</w:t>
            </w:r>
          </w:p>
        </w:tc>
        <w:tc>
          <w:tcPr>
            <w:tcW w:w="731"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leftChars="0" w:right="0" w:rightChars="0" w:firstLine="260" w:firstLineChars="0"/>
              <w:jc w:val="left"/>
              <w:rPr>
                <w:rFonts w:hint="eastAsia" w:eastAsia="宋体"/>
                <w:b w:val="0"/>
                <w:bCs w:val="0"/>
                <w:i w:val="0"/>
                <w:iCs w:val="0"/>
                <w:smallCaps w:val="0"/>
                <w:strike w:val="0"/>
                <w:color w:val="auto"/>
                <w:spacing w:val="0"/>
                <w:w w:val="100"/>
                <w:position w:val="0"/>
                <w:lang w:eastAsia="zh-CN"/>
              </w:rPr>
            </w:pPr>
            <w:r>
              <w:rPr>
                <w:color w:val="auto"/>
                <w:spacing w:val="0"/>
                <w:w w:val="100"/>
                <w:position w:val="0"/>
                <w:lang w:val="en-US" w:eastAsia="en-US" w:bidi="en-US"/>
              </w:rPr>
              <w:t>□</w:t>
            </w:r>
          </w:p>
        </w:tc>
        <w:tc>
          <w:tcPr>
            <w:tcW w:w="921"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leftChars="0" w:right="0" w:rightChars="0" w:firstLine="0" w:firstLineChars="0"/>
              <w:jc w:val="center"/>
              <w:rPr>
                <w:b w:val="0"/>
                <w:bCs w:val="0"/>
                <w:i w:val="0"/>
                <w:iCs w:val="0"/>
                <w:smallCaps w:val="0"/>
                <w:strike w:val="0"/>
                <w:color w:val="auto"/>
                <w:spacing w:val="0"/>
                <w:w w:val="100"/>
                <w:position w:val="0"/>
              </w:rPr>
            </w:pPr>
            <w:r>
              <w:rPr>
                <w:color w:val="auto"/>
                <w:spacing w:val="0"/>
                <w:w w:val="100"/>
                <w:position w:val="0"/>
                <w:lang w:val="en-US" w:eastAsia="en-US" w:bidi="en-US"/>
              </w:rPr>
              <w:t>□</w:t>
            </w:r>
          </w:p>
        </w:tc>
        <w:tc>
          <w:tcPr>
            <w:tcW w:w="732"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leftChars="0" w:right="0" w:rightChars="0" w:firstLine="0" w:firstLineChars="0"/>
              <w:jc w:val="center"/>
              <w:rPr>
                <w:rFonts w:hint="eastAsia" w:eastAsia="宋体"/>
                <w:b w:val="0"/>
                <w:bCs w:val="0"/>
                <w:i w:val="0"/>
                <w:iCs w:val="0"/>
                <w:smallCaps w:val="0"/>
                <w:strike w:val="0"/>
                <w:color w:val="auto"/>
                <w:spacing w:val="0"/>
                <w:w w:val="100"/>
                <w:position w:val="0"/>
                <w:lang w:val="en-US" w:eastAsia="zh-CN" w:bidi="en-US"/>
              </w:rPr>
            </w:pPr>
            <w:r>
              <w:rPr>
                <w:color w:val="auto"/>
                <w:spacing w:val="0"/>
                <w:w w:val="100"/>
                <w:position w:val="0"/>
                <w:lang w:val="en-US" w:eastAsia="en-US" w:bidi="en-US"/>
              </w:rPr>
              <w:t>□</w:t>
            </w:r>
          </w:p>
        </w:tc>
        <w:tc>
          <w:tcPr>
            <w:tcW w:w="623"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leftChars="0" w:right="0" w:rightChars="0" w:firstLine="220" w:firstLineChars="0"/>
              <w:jc w:val="left"/>
              <w:rPr>
                <w:b w:val="0"/>
                <w:bCs w:val="0"/>
                <w:i w:val="0"/>
                <w:iCs w:val="0"/>
                <w:smallCaps w:val="0"/>
                <w:strike w:val="0"/>
                <w:color w:val="auto"/>
                <w:spacing w:val="0"/>
                <w:w w:val="100"/>
                <w:position w:val="0"/>
                <w:lang w:val="en-US" w:eastAsia="en-US" w:bidi="en-US"/>
              </w:rPr>
            </w:pPr>
            <w:r>
              <w:rPr>
                <w:color w:val="auto"/>
                <w:spacing w:val="0"/>
                <w:w w:val="100"/>
                <w:position w:val="0"/>
                <w:lang w:val="en-US" w:eastAsia="en-US" w:bidi="en-US"/>
              </w:rPr>
              <w:t>□</w:t>
            </w:r>
          </w:p>
        </w:tc>
        <w:tc>
          <w:tcPr>
            <w:tcW w:w="623"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leftChars="0" w:right="0" w:rightChars="0" w:firstLine="0" w:firstLineChars="0"/>
              <w:jc w:val="center"/>
              <w:rPr>
                <w:b w:val="0"/>
                <w:bCs w:val="0"/>
                <w:i w:val="0"/>
                <w:iCs w:val="0"/>
                <w:smallCaps w:val="0"/>
                <w:strike w:val="0"/>
                <w:color w:val="auto"/>
                <w:spacing w:val="0"/>
                <w:w w:val="100"/>
                <w:position w:val="0"/>
                <w:lang w:val="en-US" w:eastAsia="en-US" w:bidi="en-US"/>
              </w:rPr>
            </w:pPr>
            <w:r>
              <w:rPr>
                <w:color w:val="auto"/>
                <w:spacing w:val="0"/>
                <w:w w:val="100"/>
                <w:position w:val="0"/>
                <w:lang w:val="en-US" w:eastAsia="en-US" w:bidi="en-US"/>
              </w:rPr>
              <w:t>□</w:t>
            </w:r>
          </w:p>
        </w:tc>
        <w:tc>
          <w:tcPr>
            <w:tcW w:w="194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b w:val="0"/>
                <w:bCs w:val="0"/>
                <w:i w:val="0"/>
                <w:iCs w:val="0"/>
                <w:smallCaps w:val="0"/>
                <w:strike w:val="0"/>
                <w:color w:val="auto"/>
                <w:spacing w:val="0"/>
                <w:w w:val="100"/>
                <w:position w:val="0"/>
                <w:lang w:val="en-US" w:eastAsia="en-US" w:bidi="en-US"/>
              </w:rPr>
            </w:pPr>
          </w:p>
          <w:p>
            <w:pPr>
              <w:pStyle w:val="28"/>
              <w:keepNext w:val="0"/>
              <w:keepLines w:val="0"/>
              <w:widowControl w:val="0"/>
              <w:shd w:val="clear" w:color="auto" w:fill="auto"/>
              <w:bidi w:val="0"/>
              <w:spacing w:before="0" w:after="0" w:line="240" w:lineRule="auto"/>
              <w:ind w:left="0" w:right="0" w:firstLine="0"/>
              <w:jc w:val="center"/>
              <w:rPr>
                <w:b w:val="0"/>
                <w:bCs w:val="0"/>
                <w:i w:val="0"/>
                <w:iCs w:val="0"/>
                <w:smallCaps w:val="0"/>
                <w:strike w:val="0"/>
                <w:color w:val="auto"/>
                <w:spacing w:val="0"/>
                <w:w w:val="100"/>
                <w:position w:val="0"/>
                <w:lang w:val="en-US" w:eastAsia="en-US" w:bidi="en-US"/>
              </w:rPr>
            </w:pPr>
          </w:p>
          <w:p>
            <w:pPr>
              <w:pStyle w:val="28"/>
              <w:keepNext w:val="0"/>
              <w:keepLines w:val="0"/>
              <w:widowControl w:val="0"/>
              <w:shd w:val="clear" w:color="auto" w:fill="auto"/>
              <w:bidi w:val="0"/>
              <w:spacing w:before="0" w:after="0" w:line="240" w:lineRule="auto"/>
              <w:ind w:left="0" w:right="0" w:firstLine="0"/>
              <w:jc w:val="center"/>
              <w:rPr>
                <w:b w:val="0"/>
                <w:bCs w:val="0"/>
                <w:i w:val="0"/>
                <w:iCs w:val="0"/>
                <w:smallCaps w:val="0"/>
                <w:strike w:val="0"/>
                <w:color w:val="auto"/>
                <w:spacing w:val="0"/>
                <w:w w:val="100"/>
                <w:position w:val="0"/>
                <w:lang w:val="en-US" w:eastAsia="en-US" w:bidi="en-US"/>
              </w:rPr>
            </w:pPr>
          </w:p>
          <w:p>
            <w:pPr>
              <w:pStyle w:val="28"/>
              <w:keepNext w:val="0"/>
              <w:keepLines w:val="0"/>
              <w:widowControl w:val="0"/>
              <w:shd w:val="clear" w:color="auto" w:fill="auto"/>
              <w:bidi w:val="0"/>
              <w:spacing w:before="0" w:after="0" w:line="240" w:lineRule="auto"/>
              <w:ind w:left="0" w:right="0" w:firstLine="0"/>
              <w:jc w:val="center"/>
              <w:rPr>
                <w:b w:val="0"/>
                <w:bCs w:val="0"/>
                <w:i w:val="0"/>
                <w:iCs w:val="0"/>
                <w:smallCaps w:val="0"/>
                <w:strike w:val="0"/>
                <w:color w:val="auto"/>
                <w:spacing w:val="0"/>
                <w:w w:val="100"/>
                <w:position w:val="0"/>
                <w:lang w:val="en-US" w:eastAsia="en-US" w:bidi="en-US"/>
              </w:rPr>
            </w:pPr>
          </w:p>
          <w:p>
            <w:pPr>
              <w:pStyle w:val="28"/>
              <w:keepNext w:val="0"/>
              <w:keepLines w:val="0"/>
              <w:widowControl w:val="0"/>
              <w:shd w:val="clear" w:color="auto" w:fill="auto"/>
              <w:bidi w:val="0"/>
              <w:spacing w:before="0" w:after="0" w:line="240" w:lineRule="auto"/>
              <w:ind w:left="0" w:right="0" w:firstLine="0"/>
              <w:jc w:val="center"/>
              <w:rPr>
                <w:b w:val="0"/>
                <w:bCs w:val="0"/>
                <w:i w:val="0"/>
                <w:iCs w:val="0"/>
                <w:smallCaps w:val="0"/>
                <w:strike w:val="0"/>
                <w:color w:val="auto"/>
                <w:spacing w:val="0"/>
                <w:w w:val="100"/>
                <w:position w:val="0"/>
                <w:lang w:val="en-US" w:eastAsia="en-US" w:bidi="en-US"/>
              </w:rPr>
            </w:pPr>
          </w:p>
        </w:tc>
      </w:tr>
      <w:tr>
        <w:tblPrEx>
          <w:tblCellMar>
            <w:top w:w="0" w:type="dxa"/>
            <w:left w:w="10" w:type="dxa"/>
            <w:bottom w:w="0" w:type="dxa"/>
            <w:right w:w="10" w:type="dxa"/>
          </w:tblCellMar>
        </w:tblPrEx>
        <w:trPr>
          <w:trHeight w:val="324" w:hRule="exact"/>
          <w:jc w:val="center"/>
        </w:trPr>
        <w:tc>
          <w:tcPr>
            <w:tcW w:w="1124" w:type="dxa"/>
            <w:vMerge w:val="continue"/>
            <w:tcBorders>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160"/>
              <w:jc w:val="left"/>
              <w:rPr>
                <w:color w:val="auto"/>
                <w:spacing w:val="0"/>
                <w:w w:val="100"/>
                <w:position w:val="0"/>
              </w:rPr>
            </w:pPr>
          </w:p>
        </w:tc>
        <w:tc>
          <w:tcPr>
            <w:tcW w:w="235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440"/>
              <w:jc w:val="left"/>
              <w:rPr>
                <w:color w:val="auto"/>
                <w:spacing w:val="0"/>
                <w:w w:val="100"/>
                <w:position w:val="0"/>
              </w:rPr>
            </w:pPr>
            <w:r>
              <w:rPr>
                <w:color w:val="auto"/>
                <w:spacing w:val="0"/>
                <w:w w:val="100"/>
                <w:position w:val="0"/>
              </w:rPr>
              <w:t>打饭速度、责任心</w:t>
            </w:r>
          </w:p>
        </w:tc>
        <w:tc>
          <w:tcPr>
            <w:tcW w:w="73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60"/>
              <w:jc w:val="left"/>
              <w:rPr>
                <w:rFonts w:hint="eastAsia"/>
                <w:color w:val="auto"/>
                <w:spacing w:val="0"/>
                <w:w w:val="100"/>
                <w:position w:val="0"/>
                <w:lang w:val="en-US" w:eastAsia="zh-CN" w:bidi="en-US"/>
              </w:rPr>
            </w:pPr>
            <w:r>
              <w:rPr>
                <w:color w:val="auto"/>
                <w:spacing w:val="0"/>
                <w:w w:val="100"/>
                <w:position w:val="0"/>
                <w:lang w:val="en-US" w:eastAsia="en-US" w:bidi="en-US"/>
              </w:rPr>
              <w:t>□</w:t>
            </w:r>
          </w:p>
        </w:tc>
        <w:tc>
          <w:tcPr>
            <w:tcW w:w="92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spacing w:val="0"/>
                <w:w w:val="100"/>
                <w:position w:val="0"/>
                <w:lang w:val="en-US" w:eastAsia="en-US" w:bidi="en-US"/>
              </w:rPr>
            </w:pPr>
            <w:r>
              <w:rPr>
                <w:color w:val="auto"/>
                <w:spacing w:val="0"/>
                <w:w w:val="100"/>
                <w:position w:val="0"/>
                <w:lang w:val="en-US" w:eastAsia="en-US" w:bidi="en-US"/>
              </w:rPr>
              <w:t>□</w:t>
            </w:r>
          </w:p>
        </w:tc>
        <w:tc>
          <w:tcPr>
            <w:tcW w:w="73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spacing w:val="0"/>
                <w:w w:val="100"/>
                <w:position w:val="0"/>
                <w:lang w:val="en-US" w:eastAsia="en-US" w:bidi="en-US"/>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spacing w:val="0"/>
                <w:w w:val="100"/>
                <w:position w:val="0"/>
                <w:lang w:val="en-US" w:eastAsia="en-US" w:bidi="en-US"/>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spacing w:val="0"/>
                <w:w w:val="100"/>
                <w:position w:val="0"/>
                <w:lang w:val="en-US" w:eastAsia="en-US" w:bidi="en-US"/>
              </w:rPr>
            </w:pPr>
            <w:r>
              <w:rPr>
                <w:color w:val="auto"/>
                <w:spacing w:val="0"/>
                <w:w w:val="100"/>
                <w:position w:val="0"/>
                <w:lang w:val="en-US" w:eastAsia="en-US" w:bidi="en-US"/>
              </w:rPr>
              <w:t>□</w:t>
            </w:r>
          </w:p>
        </w:tc>
        <w:tc>
          <w:tcPr>
            <w:tcW w:w="1947" w:type="dxa"/>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rPr>
            </w:pPr>
          </w:p>
        </w:tc>
      </w:tr>
      <w:tr>
        <w:tblPrEx>
          <w:tblCellMar>
            <w:top w:w="0" w:type="dxa"/>
            <w:left w:w="10" w:type="dxa"/>
            <w:bottom w:w="0" w:type="dxa"/>
            <w:right w:w="10" w:type="dxa"/>
          </w:tblCellMar>
        </w:tblPrEx>
        <w:trPr>
          <w:trHeight w:val="383" w:hRule="exact"/>
          <w:jc w:val="center"/>
        </w:trPr>
        <w:tc>
          <w:tcPr>
            <w:tcW w:w="1124" w:type="dxa"/>
            <w:vMerge w:val="continue"/>
            <w:tcBorders>
              <w:left w:val="single" w:color="auto" w:sz="4" w:space="0"/>
            </w:tcBorders>
            <w:shd w:val="clear" w:color="auto" w:fill="FFFFFF"/>
            <w:vAlign w:val="center"/>
          </w:tcPr>
          <w:p>
            <w:pPr>
              <w:rPr>
                <w:color w:val="auto"/>
              </w:rPr>
            </w:pPr>
          </w:p>
        </w:tc>
        <w:tc>
          <w:tcPr>
            <w:tcW w:w="235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440"/>
              <w:jc w:val="left"/>
              <w:rPr>
                <w:color w:val="auto"/>
              </w:rPr>
            </w:pPr>
            <w:r>
              <w:rPr>
                <w:color w:val="auto"/>
                <w:spacing w:val="0"/>
                <w:w w:val="100"/>
                <w:position w:val="0"/>
              </w:rPr>
              <w:t>饭菜是否供应充足</w:t>
            </w:r>
          </w:p>
        </w:tc>
        <w:tc>
          <w:tcPr>
            <w:tcW w:w="73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60"/>
              <w:jc w:val="left"/>
              <w:rPr>
                <w:color w:val="auto"/>
              </w:rPr>
            </w:pPr>
            <w:r>
              <w:rPr>
                <w:color w:val="auto"/>
                <w:spacing w:val="0"/>
                <w:w w:val="100"/>
                <w:position w:val="0"/>
                <w:lang w:val="en-US" w:eastAsia="en-US" w:bidi="en-US"/>
              </w:rPr>
              <w:t>□</w:t>
            </w:r>
          </w:p>
        </w:tc>
        <w:tc>
          <w:tcPr>
            <w:tcW w:w="92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rFonts w:hint="eastAsia" w:eastAsia="宋体"/>
                <w:color w:val="auto"/>
                <w:lang w:eastAsia="zh-CN"/>
              </w:rPr>
            </w:pPr>
            <w:r>
              <w:rPr>
                <w:rFonts w:hint="eastAsia"/>
                <w:color w:val="auto"/>
                <w:spacing w:val="0"/>
                <w:w w:val="100"/>
                <w:position w:val="0"/>
                <w:lang w:val="en-US" w:eastAsia="zh-CN" w:bidi="en-US"/>
              </w:rPr>
              <w:t>□</w:t>
            </w:r>
          </w:p>
        </w:tc>
        <w:tc>
          <w:tcPr>
            <w:tcW w:w="73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1947" w:type="dxa"/>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rPr>
            </w:pPr>
          </w:p>
        </w:tc>
      </w:tr>
      <w:tr>
        <w:tblPrEx>
          <w:tblCellMar>
            <w:top w:w="0" w:type="dxa"/>
            <w:left w:w="10" w:type="dxa"/>
            <w:bottom w:w="0" w:type="dxa"/>
            <w:right w:w="10" w:type="dxa"/>
          </w:tblCellMar>
        </w:tblPrEx>
        <w:trPr>
          <w:trHeight w:val="383" w:hRule="exact"/>
          <w:jc w:val="center"/>
        </w:trPr>
        <w:tc>
          <w:tcPr>
            <w:tcW w:w="1124" w:type="dxa"/>
            <w:vMerge w:val="continue"/>
            <w:tcBorders>
              <w:left w:val="single" w:color="auto" w:sz="4" w:space="0"/>
            </w:tcBorders>
            <w:shd w:val="clear" w:color="auto" w:fill="FFFFFF"/>
            <w:vAlign w:val="center"/>
          </w:tcPr>
          <w:p>
            <w:pPr>
              <w:rPr>
                <w:color w:val="auto"/>
              </w:rPr>
            </w:pPr>
          </w:p>
        </w:tc>
        <w:tc>
          <w:tcPr>
            <w:tcW w:w="235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rPr>
              <w:t>洗碗清洁品供应情况</w:t>
            </w:r>
          </w:p>
        </w:tc>
        <w:tc>
          <w:tcPr>
            <w:tcW w:w="73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60"/>
              <w:jc w:val="left"/>
              <w:rPr>
                <w:color w:val="auto"/>
              </w:rPr>
            </w:pPr>
            <w:r>
              <w:rPr>
                <w:color w:val="auto"/>
                <w:spacing w:val="0"/>
                <w:w w:val="100"/>
                <w:position w:val="0"/>
                <w:lang w:val="en-US" w:eastAsia="en-US" w:bidi="en-US"/>
              </w:rPr>
              <w:t>□</w:t>
            </w:r>
          </w:p>
        </w:tc>
        <w:tc>
          <w:tcPr>
            <w:tcW w:w="92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73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1947" w:type="dxa"/>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rPr>
            </w:pPr>
          </w:p>
        </w:tc>
      </w:tr>
      <w:tr>
        <w:tblPrEx>
          <w:tblCellMar>
            <w:top w:w="0" w:type="dxa"/>
            <w:left w:w="10" w:type="dxa"/>
            <w:bottom w:w="0" w:type="dxa"/>
            <w:right w:w="10" w:type="dxa"/>
          </w:tblCellMar>
        </w:tblPrEx>
        <w:trPr>
          <w:trHeight w:val="371" w:hRule="exact"/>
          <w:jc w:val="center"/>
        </w:trPr>
        <w:tc>
          <w:tcPr>
            <w:tcW w:w="1124" w:type="dxa"/>
            <w:vMerge w:val="continue"/>
            <w:tcBorders>
              <w:left w:val="single" w:color="auto" w:sz="4" w:space="0"/>
            </w:tcBorders>
            <w:shd w:val="clear" w:color="auto" w:fill="FFFFFF"/>
            <w:vAlign w:val="center"/>
          </w:tcPr>
          <w:p>
            <w:pPr>
              <w:rPr>
                <w:color w:val="auto"/>
              </w:rPr>
            </w:pPr>
          </w:p>
        </w:tc>
        <w:tc>
          <w:tcPr>
            <w:tcW w:w="235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rFonts w:hint="eastAsia"/>
                <w:color w:val="auto"/>
                <w:spacing w:val="0"/>
                <w:w w:val="100"/>
                <w:position w:val="0"/>
                <w:lang w:eastAsia="zh-CN"/>
              </w:rPr>
              <w:t>汤</w:t>
            </w:r>
            <w:r>
              <w:rPr>
                <w:color w:val="auto"/>
                <w:spacing w:val="0"/>
                <w:w w:val="100"/>
                <w:position w:val="0"/>
              </w:rPr>
              <w:t>水</w:t>
            </w:r>
            <w:r>
              <w:rPr>
                <w:rFonts w:hint="eastAsia"/>
                <w:color w:val="auto"/>
                <w:spacing w:val="0"/>
                <w:w w:val="100"/>
                <w:position w:val="0"/>
                <w:lang w:eastAsia="zh-CN"/>
              </w:rPr>
              <w:t>、配料</w:t>
            </w:r>
            <w:r>
              <w:rPr>
                <w:color w:val="auto"/>
                <w:spacing w:val="0"/>
                <w:w w:val="100"/>
                <w:position w:val="0"/>
              </w:rPr>
              <w:t>供应情况</w:t>
            </w:r>
          </w:p>
        </w:tc>
        <w:tc>
          <w:tcPr>
            <w:tcW w:w="73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60"/>
              <w:jc w:val="left"/>
              <w:rPr>
                <w:color w:val="auto"/>
              </w:rPr>
            </w:pPr>
            <w:r>
              <w:rPr>
                <w:color w:val="auto"/>
                <w:spacing w:val="0"/>
                <w:w w:val="100"/>
                <w:position w:val="0"/>
                <w:lang w:val="en-US" w:eastAsia="en-US" w:bidi="en-US"/>
              </w:rPr>
              <w:t>□</w:t>
            </w:r>
          </w:p>
        </w:tc>
        <w:tc>
          <w:tcPr>
            <w:tcW w:w="92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73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1947" w:type="dxa"/>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rPr>
            </w:pPr>
          </w:p>
        </w:tc>
      </w:tr>
      <w:tr>
        <w:tblPrEx>
          <w:tblCellMar>
            <w:top w:w="0" w:type="dxa"/>
            <w:left w:w="10" w:type="dxa"/>
            <w:bottom w:w="0" w:type="dxa"/>
            <w:right w:w="10" w:type="dxa"/>
          </w:tblCellMar>
        </w:tblPrEx>
        <w:trPr>
          <w:trHeight w:val="383" w:hRule="exact"/>
          <w:jc w:val="center"/>
        </w:trPr>
        <w:tc>
          <w:tcPr>
            <w:tcW w:w="1124" w:type="dxa"/>
            <w:vMerge w:val="continue"/>
            <w:tcBorders>
              <w:left w:val="single" w:color="auto" w:sz="4" w:space="0"/>
            </w:tcBorders>
            <w:shd w:val="clear" w:color="auto" w:fill="FFFFFF"/>
            <w:vAlign w:val="center"/>
          </w:tcPr>
          <w:p>
            <w:pPr>
              <w:rPr>
                <w:color w:val="auto"/>
              </w:rPr>
            </w:pPr>
          </w:p>
        </w:tc>
        <w:tc>
          <w:tcPr>
            <w:tcW w:w="235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rPr>
              <w:t>周末饭菜供应整体情况</w:t>
            </w:r>
          </w:p>
        </w:tc>
        <w:tc>
          <w:tcPr>
            <w:tcW w:w="73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60"/>
              <w:jc w:val="left"/>
              <w:rPr>
                <w:color w:val="auto"/>
              </w:rPr>
            </w:pPr>
            <w:r>
              <w:rPr>
                <w:color w:val="auto"/>
                <w:spacing w:val="0"/>
                <w:w w:val="100"/>
                <w:position w:val="0"/>
                <w:lang w:val="en-US" w:eastAsia="en-US" w:bidi="en-US"/>
              </w:rPr>
              <w:t>□</w:t>
            </w:r>
          </w:p>
        </w:tc>
        <w:tc>
          <w:tcPr>
            <w:tcW w:w="92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73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rFonts w:hint="eastAsia" w:eastAsia="宋体"/>
                <w:color w:val="auto"/>
                <w:lang w:eastAsia="zh-CN"/>
              </w:rPr>
            </w:pPr>
            <w:r>
              <w:rPr>
                <w:rFonts w:hint="eastAsia"/>
                <w:color w:val="auto"/>
                <w:spacing w:val="0"/>
                <w:w w:val="100"/>
                <w:position w:val="0"/>
                <w:lang w:val="en-US" w:eastAsia="zh-CN"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1947" w:type="dxa"/>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rPr>
            </w:pPr>
          </w:p>
        </w:tc>
      </w:tr>
      <w:tr>
        <w:tblPrEx>
          <w:tblCellMar>
            <w:top w:w="0" w:type="dxa"/>
            <w:left w:w="10" w:type="dxa"/>
            <w:bottom w:w="0" w:type="dxa"/>
            <w:right w:w="10" w:type="dxa"/>
          </w:tblCellMar>
        </w:tblPrEx>
        <w:trPr>
          <w:trHeight w:val="383" w:hRule="exact"/>
          <w:jc w:val="center"/>
        </w:trPr>
        <w:tc>
          <w:tcPr>
            <w:tcW w:w="1124"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160"/>
              <w:jc w:val="left"/>
              <w:rPr>
                <w:color w:val="auto"/>
              </w:rPr>
            </w:pPr>
            <w:r>
              <w:rPr>
                <w:color w:val="auto"/>
                <w:spacing w:val="0"/>
                <w:w w:val="100"/>
                <w:position w:val="0"/>
              </w:rPr>
              <w:t>饭菜价格</w:t>
            </w:r>
          </w:p>
        </w:tc>
        <w:tc>
          <w:tcPr>
            <w:tcW w:w="235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rPr>
              <w:t>集中打饭价格</w:t>
            </w:r>
          </w:p>
        </w:tc>
        <w:tc>
          <w:tcPr>
            <w:tcW w:w="73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60"/>
              <w:jc w:val="left"/>
              <w:rPr>
                <w:color w:val="auto"/>
              </w:rPr>
            </w:pPr>
            <w:r>
              <w:rPr>
                <w:color w:val="auto"/>
                <w:spacing w:val="0"/>
                <w:w w:val="100"/>
                <w:position w:val="0"/>
                <w:lang w:val="en-US" w:eastAsia="en-US" w:bidi="en-US"/>
              </w:rPr>
              <w:t>□</w:t>
            </w:r>
          </w:p>
        </w:tc>
        <w:tc>
          <w:tcPr>
            <w:tcW w:w="92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73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1947" w:type="dxa"/>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rPr>
            </w:pPr>
          </w:p>
        </w:tc>
      </w:tr>
      <w:tr>
        <w:tblPrEx>
          <w:tblCellMar>
            <w:top w:w="0" w:type="dxa"/>
            <w:left w:w="10" w:type="dxa"/>
            <w:bottom w:w="0" w:type="dxa"/>
            <w:right w:w="10" w:type="dxa"/>
          </w:tblCellMar>
        </w:tblPrEx>
        <w:trPr>
          <w:trHeight w:val="383" w:hRule="exact"/>
          <w:jc w:val="center"/>
        </w:trPr>
        <w:tc>
          <w:tcPr>
            <w:tcW w:w="1124" w:type="dxa"/>
            <w:vMerge w:val="continue"/>
            <w:tcBorders>
              <w:left w:val="single" w:color="auto" w:sz="4" w:space="0"/>
            </w:tcBorders>
            <w:shd w:val="clear" w:color="auto" w:fill="FFFFFF"/>
            <w:vAlign w:val="center"/>
          </w:tcPr>
          <w:p>
            <w:pPr>
              <w:rPr>
                <w:color w:val="auto"/>
              </w:rPr>
            </w:pPr>
          </w:p>
        </w:tc>
        <w:tc>
          <w:tcPr>
            <w:tcW w:w="235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rPr>
              <w:t>小炒价格</w:t>
            </w:r>
          </w:p>
        </w:tc>
        <w:tc>
          <w:tcPr>
            <w:tcW w:w="73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60"/>
              <w:jc w:val="left"/>
              <w:rPr>
                <w:color w:val="auto"/>
              </w:rPr>
            </w:pPr>
            <w:r>
              <w:rPr>
                <w:color w:val="auto"/>
                <w:spacing w:val="0"/>
                <w:w w:val="100"/>
                <w:position w:val="0"/>
                <w:lang w:val="en-US" w:eastAsia="en-US" w:bidi="en-US"/>
              </w:rPr>
              <w:t>□</w:t>
            </w:r>
          </w:p>
        </w:tc>
        <w:tc>
          <w:tcPr>
            <w:tcW w:w="92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73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1947" w:type="dxa"/>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rPr>
            </w:pPr>
          </w:p>
        </w:tc>
      </w:tr>
      <w:tr>
        <w:tblPrEx>
          <w:tblCellMar>
            <w:top w:w="0" w:type="dxa"/>
            <w:left w:w="10" w:type="dxa"/>
            <w:bottom w:w="0" w:type="dxa"/>
            <w:right w:w="10" w:type="dxa"/>
          </w:tblCellMar>
        </w:tblPrEx>
        <w:trPr>
          <w:trHeight w:val="371" w:hRule="exact"/>
          <w:jc w:val="center"/>
        </w:trPr>
        <w:tc>
          <w:tcPr>
            <w:tcW w:w="1124"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160"/>
              <w:jc w:val="left"/>
              <w:rPr>
                <w:color w:val="auto"/>
              </w:rPr>
            </w:pPr>
            <w:r>
              <w:rPr>
                <w:color w:val="auto"/>
                <w:spacing w:val="0"/>
                <w:w w:val="100"/>
                <w:position w:val="0"/>
              </w:rPr>
              <w:t>食堂管理</w:t>
            </w:r>
          </w:p>
        </w:tc>
        <w:tc>
          <w:tcPr>
            <w:tcW w:w="2357"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rPr>
              <w:t>食堂综合管理</w:t>
            </w:r>
          </w:p>
        </w:tc>
        <w:tc>
          <w:tcPr>
            <w:tcW w:w="73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60"/>
              <w:jc w:val="left"/>
              <w:rPr>
                <w:color w:val="auto"/>
              </w:rPr>
            </w:pPr>
            <w:r>
              <w:rPr>
                <w:color w:val="auto"/>
                <w:spacing w:val="0"/>
                <w:w w:val="100"/>
                <w:position w:val="0"/>
                <w:lang w:val="en-US" w:eastAsia="en-US" w:bidi="en-US"/>
              </w:rPr>
              <w:t>□</w:t>
            </w:r>
          </w:p>
        </w:tc>
        <w:tc>
          <w:tcPr>
            <w:tcW w:w="921"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732"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0"/>
              <w:jc w:val="center"/>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623"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before="0" w:after="0" w:line="240" w:lineRule="auto"/>
              <w:ind w:left="0" w:right="0" w:firstLine="220"/>
              <w:jc w:val="left"/>
              <w:rPr>
                <w:color w:val="auto"/>
              </w:rPr>
            </w:pPr>
            <w:r>
              <w:rPr>
                <w:color w:val="auto"/>
                <w:spacing w:val="0"/>
                <w:w w:val="100"/>
                <w:position w:val="0"/>
                <w:lang w:val="en-US" w:eastAsia="en-US" w:bidi="en-US"/>
              </w:rPr>
              <w:t>□</w:t>
            </w:r>
          </w:p>
        </w:tc>
        <w:tc>
          <w:tcPr>
            <w:tcW w:w="1947" w:type="dxa"/>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rPr>
            </w:pPr>
          </w:p>
        </w:tc>
      </w:tr>
      <w:tr>
        <w:tblPrEx>
          <w:tblCellMar>
            <w:top w:w="0" w:type="dxa"/>
            <w:left w:w="10" w:type="dxa"/>
            <w:bottom w:w="0" w:type="dxa"/>
            <w:right w:w="10" w:type="dxa"/>
          </w:tblCellMar>
        </w:tblPrEx>
        <w:trPr>
          <w:trHeight w:val="394" w:hRule="exact"/>
          <w:jc w:val="center"/>
        </w:trPr>
        <w:tc>
          <w:tcPr>
            <w:tcW w:w="3481" w:type="dxa"/>
            <w:gridSpan w:val="2"/>
            <w:tcBorders>
              <w:top w:val="single" w:color="auto" w:sz="4" w:space="0"/>
              <w:left w:val="single" w:color="auto" w:sz="4" w:space="0"/>
            </w:tcBorders>
            <w:shd w:val="clear" w:color="auto" w:fill="FFFFFF"/>
            <w:vAlign w:val="bottom"/>
          </w:tcPr>
          <w:p>
            <w:pPr>
              <w:pStyle w:val="28"/>
              <w:keepNext w:val="0"/>
              <w:keepLines w:val="0"/>
              <w:widowControl w:val="0"/>
              <w:shd w:val="clear" w:color="auto" w:fill="auto"/>
              <w:bidi w:val="0"/>
              <w:spacing w:before="0" w:after="0" w:line="240" w:lineRule="auto"/>
              <w:ind w:left="0" w:right="0" w:firstLine="0"/>
              <w:jc w:val="center"/>
              <w:rPr>
                <w:rFonts w:hint="eastAsia" w:eastAsia="宋体"/>
                <w:color w:val="auto"/>
                <w:lang w:eastAsia="zh-CN"/>
              </w:rPr>
            </w:pPr>
            <w:r>
              <w:rPr>
                <w:color w:val="auto"/>
                <w:spacing w:val="0"/>
                <w:w w:val="100"/>
                <w:position w:val="0"/>
              </w:rPr>
              <w:t>总得分</w:t>
            </w:r>
            <w:r>
              <w:rPr>
                <w:rFonts w:hint="eastAsia"/>
                <w:color w:val="auto"/>
                <w:spacing w:val="0"/>
                <w:w w:val="100"/>
                <w:position w:val="0"/>
                <w:lang w:eastAsia="zh-CN"/>
              </w:rPr>
              <w:t>：</w:t>
            </w:r>
          </w:p>
        </w:tc>
        <w:tc>
          <w:tcPr>
            <w:tcW w:w="3630" w:type="dxa"/>
            <w:gridSpan w:val="5"/>
            <w:tcBorders>
              <w:top w:val="single" w:color="auto" w:sz="4" w:space="0"/>
              <w:left w:val="single" w:color="auto" w:sz="4" w:space="0"/>
            </w:tcBorders>
            <w:shd w:val="clear" w:color="auto" w:fill="FFFFFF"/>
            <w:vAlign w:val="top"/>
          </w:tcPr>
          <w:p>
            <w:pPr>
              <w:widowControl w:val="0"/>
              <w:rPr>
                <w:color w:val="auto"/>
                <w:sz w:val="10"/>
                <w:szCs w:val="10"/>
              </w:rPr>
            </w:pPr>
          </w:p>
        </w:tc>
        <w:tc>
          <w:tcPr>
            <w:tcW w:w="1947" w:type="dxa"/>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rPr>
            </w:pPr>
          </w:p>
        </w:tc>
      </w:tr>
      <w:tr>
        <w:tblPrEx>
          <w:tblCellMar>
            <w:top w:w="0" w:type="dxa"/>
            <w:left w:w="10" w:type="dxa"/>
            <w:bottom w:w="0" w:type="dxa"/>
            <w:right w:w="10" w:type="dxa"/>
          </w:tblCellMar>
        </w:tblPrEx>
        <w:trPr>
          <w:trHeight w:val="1048" w:hRule="exact"/>
          <w:jc w:val="center"/>
        </w:trPr>
        <w:tc>
          <w:tcPr>
            <w:tcW w:w="9058" w:type="dxa"/>
            <w:gridSpan w:val="8"/>
            <w:tcBorders>
              <w:top w:val="single" w:color="auto" w:sz="4" w:space="0"/>
              <w:left w:val="single" w:color="auto" w:sz="4" w:space="0"/>
              <w:bottom w:val="single" w:color="auto" w:sz="4" w:space="0"/>
              <w:right w:val="single" w:color="auto" w:sz="4" w:space="0"/>
            </w:tcBorders>
            <w:shd w:val="clear" w:color="auto" w:fill="FFFFFF"/>
            <w:vAlign w:val="top"/>
          </w:tcPr>
          <w:p>
            <w:pPr>
              <w:pStyle w:val="28"/>
              <w:keepNext w:val="0"/>
              <w:keepLines w:val="0"/>
              <w:widowControl w:val="0"/>
              <w:shd w:val="clear" w:color="auto" w:fill="auto"/>
              <w:bidi w:val="0"/>
              <w:spacing w:before="0" w:after="0" w:line="240" w:lineRule="auto"/>
              <w:ind w:left="0" w:right="0" w:firstLine="0"/>
              <w:jc w:val="left"/>
              <w:rPr>
                <w:color w:val="auto"/>
              </w:rPr>
            </w:pPr>
            <w:r>
              <w:rPr>
                <w:color w:val="auto"/>
                <w:spacing w:val="0"/>
                <w:w w:val="100"/>
                <w:position w:val="0"/>
              </w:rPr>
              <w:t>除此之外，您还有什么意见和建议：</w:t>
            </w: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各位员工：您好！为了完善公司食堂管理，持续提高服务质量，让员工更加精神饱满地做好生产工作, 特发放此表，此表为不记名打分表，希望大家从实际出发，积极配合，认真、详细的填写，谢谢配合！</w:t>
      </w:r>
    </w:p>
    <w:p>
      <w:pPr>
        <w:rPr>
          <w:rFonts w:asciiTheme="minorEastAsia" w:hAnsiTheme="minorEastAsia" w:eastAsiaTheme="minorEastAsia" w:cstheme="minorEastAsia"/>
          <w:color w:val="auto"/>
          <w:sz w:val="24"/>
          <w:szCs w:val="24"/>
        </w:rPr>
      </w:pPr>
    </w:p>
    <w:p>
      <w:pPr>
        <w:pStyle w:val="3"/>
        <w:spacing w:line="360" w:lineRule="auto"/>
        <w:jc w:val="center"/>
        <w:rPr>
          <w:rFonts w:asciiTheme="minorEastAsia" w:hAnsiTheme="minorEastAsia"/>
          <w:color w:val="auto"/>
        </w:rPr>
      </w:pPr>
      <w:bookmarkStart w:id="100" w:name="_Toc28450_WPSOffice_Level1"/>
      <w:bookmarkStart w:id="101" w:name="_Toc23269_WPSOffice_Level1"/>
      <w:bookmarkStart w:id="102" w:name="_Toc17451_WPSOffice_Level1"/>
      <w:r>
        <w:rPr>
          <w:rFonts w:hint="eastAsia" w:asciiTheme="minorEastAsia" w:hAnsiTheme="minorEastAsia"/>
          <w:color w:val="auto"/>
        </w:rPr>
        <w:t>第五章  投标文件格式</w:t>
      </w:r>
      <w:bookmarkEnd w:id="100"/>
      <w:bookmarkEnd w:id="101"/>
      <w:bookmarkEnd w:id="102"/>
    </w:p>
    <w:p>
      <w:pPr>
        <w:pStyle w:val="14"/>
        <w:widowControl w:val="0"/>
        <w:spacing w:before="0" w:beforeAutospacing="0" w:after="0" w:afterAutospacing="0" w:line="360" w:lineRule="auto"/>
        <w:jc w:val="both"/>
        <w:rPr>
          <w:rFonts w:asciiTheme="minorEastAsia" w:hAnsiTheme="minorEastAsia"/>
          <w:color w:val="auto"/>
          <w:sz w:val="44"/>
          <w:szCs w:val="44"/>
        </w:rPr>
      </w:pPr>
    </w:p>
    <w:p>
      <w:pPr>
        <w:pStyle w:val="14"/>
        <w:widowControl w:val="0"/>
        <w:spacing w:before="0" w:beforeAutospacing="0" w:after="0" w:afterAutospacing="0" w:line="360" w:lineRule="auto"/>
        <w:jc w:val="center"/>
        <w:rPr>
          <w:rFonts w:asciiTheme="minorEastAsia" w:hAnsiTheme="minorEastAsia"/>
          <w:color w:val="auto"/>
          <w:sz w:val="44"/>
          <w:szCs w:val="44"/>
        </w:rPr>
      </w:pPr>
    </w:p>
    <w:p>
      <w:pPr>
        <w:pStyle w:val="14"/>
        <w:widowControl w:val="0"/>
        <w:spacing w:before="0" w:beforeAutospacing="0" w:after="0" w:afterAutospacing="0" w:line="360" w:lineRule="auto"/>
        <w:jc w:val="center"/>
        <w:rPr>
          <w:rFonts w:asciiTheme="minorEastAsia" w:hAnsiTheme="minorEastAsia"/>
          <w:color w:val="auto"/>
          <w:sz w:val="44"/>
          <w:szCs w:val="44"/>
        </w:rPr>
      </w:pPr>
    </w:p>
    <w:p>
      <w:pPr>
        <w:pStyle w:val="14"/>
        <w:widowControl w:val="0"/>
        <w:spacing w:before="0" w:beforeAutospacing="0" w:after="0" w:afterAutospacing="0" w:line="360" w:lineRule="auto"/>
        <w:jc w:val="center"/>
        <w:rPr>
          <w:rFonts w:asciiTheme="minorEastAsia" w:hAnsiTheme="minorEastAsia"/>
          <w:color w:val="auto"/>
          <w:sz w:val="44"/>
          <w:szCs w:val="44"/>
        </w:rPr>
      </w:pPr>
      <w:r>
        <w:rPr>
          <w:rFonts w:hint="eastAsia" w:asciiTheme="minorEastAsia" w:hAnsiTheme="minorEastAsia"/>
          <w:color w:val="auto"/>
          <w:sz w:val="44"/>
          <w:szCs w:val="44"/>
        </w:rPr>
        <w:t>康乃馨食堂承包经营项目</w:t>
      </w:r>
    </w:p>
    <w:p>
      <w:pPr>
        <w:pStyle w:val="14"/>
        <w:jc w:val="center"/>
        <w:rPr>
          <w:rFonts w:asciiTheme="minorEastAsia" w:hAnsiTheme="minorEastAsia"/>
          <w:color w:val="auto"/>
          <w:sz w:val="44"/>
          <w:szCs w:val="44"/>
        </w:rPr>
      </w:pPr>
    </w:p>
    <w:p>
      <w:pPr>
        <w:pStyle w:val="14"/>
        <w:jc w:val="center"/>
        <w:rPr>
          <w:rFonts w:asciiTheme="minorEastAsia" w:hAnsiTheme="minorEastAsia"/>
          <w:color w:val="auto"/>
          <w:sz w:val="44"/>
          <w:szCs w:val="44"/>
        </w:rPr>
      </w:pPr>
    </w:p>
    <w:p>
      <w:pPr>
        <w:pStyle w:val="14"/>
        <w:jc w:val="center"/>
        <w:rPr>
          <w:rFonts w:asciiTheme="minorEastAsia" w:hAnsiTheme="minorEastAsia"/>
          <w:color w:val="auto"/>
          <w:sz w:val="44"/>
          <w:szCs w:val="44"/>
        </w:rPr>
      </w:pPr>
      <w:r>
        <w:rPr>
          <w:rFonts w:hint="eastAsia" w:asciiTheme="minorEastAsia" w:hAnsiTheme="minorEastAsia"/>
          <w:color w:val="auto"/>
          <w:sz w:val="44"/>
          <w:szCs w:val="44"/>
        </w:rPr>
        <w:t>投  标  文  件</w:t>
      </w:r>
    </w:p>
    <w:p>
      <w:pPr>
        <w:pStyle w:val="14"/>
        <w:jc w:val="center"/>
        <w:rPr>
          <w:rFonts w:asciiTheme="minorEastAsia" w:hAnsiTheme="minorEastAsia"/>
          <w:color w:val="auto"/>
          <w:sz w:val="32"/>
          <w:szCs w:val="32"/>
        </w:rPr>
      </w:pPr>
    </w:p>
    <w:p>
      <w:pPr>
        <w:pStyle w:val="14"/>
        <w:rPr>
          <w:rFonts w:asciiTheme="minorEastAsia" w:hAnsiTheme="minorEastAsia"/>
          <w:color w:val="auto"/>
          <w:sz w:val="32"/>
          <w:szCs w:val="32"/>
        </w:rPr>
      </w:pPr>
    </w:p>
    <w:p>
      <w:pPr>
        <w:pStyle w:val="14"/>
        <w:rPr>
          <w:rFonts w:asciiTheme="minorEastAsia" w:hAnsiTheme="minorEastAsia"/>
          <w:color w:val="auto"/>
          <w:sz w:val="32"/>
          <w:szCs w:val="32"/>
        </w:rPr>
      </w:pPr>
    </w:p>
    <w:p>
      <w:pPr>
        <w:spacing w:line="360" w:lineRule="auto"/>
        <w:rPr>
          <w:rFonts w:asciiTheme="minorEastAsia" w:hAnsiTheme="minorEastAsia"/>
          <w:color w:val="auto"/>
          <w:sz w:val="32"/>
          <w:szCs w:val="32"/>
        </w:rPr>
      </w:pPr>
    </w:p>
    <w:p>
      <w:pPr>
        <w:spacing w:line="360" w:lineRule="auto"/>
        <w:rPr>
          <w:rFonts w:asciiTheme="minorEastAsia" w:hAnsiTheme="minorEastAsia"/>
          <w:color w:val="auto"/>
          <w:sz w:val="32"/>
          <w:szCs w:val="32"/>
        </w:rPr>
      </w:pPr>
    </w:p>
    <w:p>
      <w:pPr>
        <w:spacing w:line="480" w:lineRule="auto"/>
        <w:jc w:val="center"/>
        <w:rPr>
          <w:rFonts w:asciiTheme="minorEastAsia" w:hAnsiTheme="minorEastAsia"/>
          <w:color w:val="auto"/>
          <w:sz w:val="32"/>
          <w:szCs w:val="32"/>
          <w:u w:val="single"/>
        </w:rPr>
      </w:pPr>
      <w:r>
        <w:rPr>
          <w:rFonts w:hint="eastAsia" w:asciiTheme="minorEastAsia" w:hAnsiTheme="minorEastAsia"/>
          <w:color w:val="auto"/>
          <w:sz w:val="32"/>
          <w:szCs w:val="32"/>
        </w:rPr>
        <w:t>投  标  人：</w:t>
      </w:r>
      <w:r>
        <w:rPr>
          <w:rFonts w:hint="eastAsia" w:asciiTheme="minorEastAsia" w:hAnsiTheme="minorEastAsia"/>
          <w:color w:val="auto"/>
          <w:sz w:val="32"/>
          <w:szCs w:val="32"/>
          <w:u w:val="single"/>
        </w:rPr>
        <w:t xml:space="preserve">            （全称）       </w:t>
      </w:r>
      <w:r>
        <w:rPr>
          <w:rFonts w:hint="eastAsia" w:asciiTheme="minorEastAsia" w:hAnsiTheme="minorEastAsia"/>
          <w:color w:val="auto"/>
          <w:sz w:val="32"/>
          <w:szCs w:val="32"/>
        </w:rPr>
        <w:t>（盖单位公章）</w:t>
      </w:r>
    </w:p>
    <w:p>
      <w:pPr>
        <w:spacing w:line="480" w:lineRule="auto"/>
        <w:jc w:val="center"/>
        <w:rPr>
          <w:rFonts w:asciiTheme="minorEastAsia" w:hAnsiTheme="minorEastAsia"/>
          <w:color w:val="auto"/>
          <w:sz w:val="32"/>
          <w:szCs w:val="32"/>
        </w:rPr>
      </w:pPr>
      <w:r>
        <w:rPr>
          <w:rFonts w:hint="eastAsia" w:asciiTheme="minorEastAsia" w:hAnsiTheme="minorEastAsia"/>
          <w:color w:val="auto"/>
          <w:sz w:val="32"/>
          <w:szCs w:val="32"/>
        </w:rPr>
        <w:t>法定代表人或其委托代理人：</w:t>
      </w:r>
      <w:r>
        <w:rPr>
          <w:rFonts w:hint="eastAsia" w:asciiTheme="minorEastAsia" w:hAnsiTheme="minorEastAsia"/>
          <w:color w:val="auto"/>
          <w:sz w:val="32"/>
          <w:szCs w:val="32"/>
          <w:u w:val="single"/>
        </w:rPr>
        <w:t xml:space="preserve">             </w:t>
      </w:r>
      <w:r>
        <w:rPr>
          <w:rFonts w:hint="eastAsia" w:asciiTheme="minorEastAsia" w:hAnsiTheme="minorEastAsia"/>
          <w:color w:val="auto"/>
          <w:sz w:val="32"/>
          <w:szCs w:val="32"/>
        </w:rPr>
        <w:t>（签字或盖章）</w:t>
      </w:r>
    </w:p>
    <w:p>
      <w:pPr>
        <w:spacing w:line="480" w:lineRule="auto"/>
        <w:jc w:val="center"/>
        <w:rPr>
          <w:rFonts w:asciiTheme="minorEastAsia" w:hAnsiTheme="minorEastAsia"/>
          <w:color w:val="auto"/>
          <w:sz w:val="32"/>
          <w:szCs w:val="32"/>
        </w:rPr>
      </w:pPr>
      <w:r>
        <w:rPr>
          <w:rFonts w:hint="eastAsia" w:asciiTheme="minorEastAsia" w:hAnsiTheme="minorEastAsia"/>
          <w:color w:val="auto"/>
          <w:sz w:val="32"/>
          <w:szCs w:val="32"/>
          <w:u w:val="single"/>
        </w:rPr>
        <w:t xml:space="preserve">       </w:t>
      </w:r>
      <w:r>
        <w:rPr>
          <w:rFonts w:hint="eastAsia" w:asciiTheme="minorEastAsia" w:hAnsiTheme="minorEastAsia"/>
          <w:color w:val="auto"/>
          <w:sz w:val="32"/>
          <w:szCs w:val="32"/>
        </w:rPr>
        <w:t>年</w:t>
      </w:r>
      <w:r>
        <w:rPr>
          <w:rFonts w:hint="eastAsia" w:asciiTheme="minorEastAsia" w:hAnsiTheme="minorEastAsia"/>
          <w:color w:val="auto"/>
          <w:sz w:val="32"/>
          <w:szCs w:val="32"/>
          <w:u w:val="single"/>
        </w:rPr>
        <w:t xml:space="preserve">     </w:t>
      </w:r>
      <w:r>
        <w:rPr>
          <w:rFonts w:hint="eastAsia" w:asciiTheme="minorEastAsia" w:hAnsiTheme="minorEastAsia"/>
          <w:color w:val="auto"/>
          <w:sz w:val="32"/>
          <w:szCs w:val="32"/>
        </w:rPr>
        <w:t>月</w:t>
      </w:r>
      <w:r>
        <w:rPr>
          <w:rFonts w:hint="eastAsia" w:asciiTheme="minorEastAsia" w:hAnsiTheme="minorEastAsia"/>
          <w:color w:val="auto"/>
          <w:sz w:val="32"/>
          <w:szCs w:val="32"/>
          <w:u w:val="single"/>
        </w:rPr>
        <w:t xml:space="preserve">    </w:t>
      </w:r>
      <w:r>
        <w:rPr>
          <w:rFonts w:hint="eastAsia" w:asciiTheme="minorEastAsia" w:hAnsiTheme="minorEastAsia"/>
          <w:color w:val="auto"/>
          <w:sz w:val="32"/>
          <w:szCs w:val="32"/>
        </w:rPr>
        <w:t>日</w:t>
      </w:r>
    </w:p>
    <w:p>
      <w:pPr>
        <w:pStyle w:val="2"/>
        <w:rPr>
          <w:color w:val="auto"/>
        </w:rPr>
      </w:pPr>
    </w:p>
    <w:p>
      <w:pPr>
        <w:spacing w:line="600" w:lineRule="exact"/>
        <w:ind w:left="480"/>
        <w:jc w:val="center"/>
        <w:rPr>
          <w:rFonts w:asciiTheme="minorEastAsia" w:hAnsiTheme="minorEastAsia"/>
          <w:color w:val="auto"/>
          <w:sz w:val="36"/>
          <w:szCs w:val="36"/>
        </w:rPr>
      </w:pPr>
    </w:p>
    <w:p>
      <w:pPr>
        <w:spacing w:line="600" w:lineRule="exact"/>
        <w:ind w:left="480"/>
        <w:jc w:val="center"/>
        <w:rPr>
          <w:rFonts w:asciiTheme="minorEastAsia" w:hAnsiTheme="minorEastAsia"/>
          <w:color w:val="auto"/>
          <w:sz w:val="36"/>
          <w:szCs w:val="36"/>
        </w:rPr>
      </w:pPr>
      <w:r>
        <w:rPr>
          <w:rFonts w:hint="eastAsia" w:asciiTheme="minorEastAsia" w:hAnsiTheme="minorEastAsia"/>
          <w:color w:val="auto"/>
          <w:sz w:val="36"/>
          <w:szCs w:val="36"/>
        </w:rPr>
        <w:t>目   录</w:t>
      </w:r>
    </w:p>
    <w:p>
      <w:pPr>
        <w:spacing w:line="600" w:lineRule="exact"/>
        <w:ind w:left="480"/>
        <w:rPr>
          <w:rFonts w:asciiTheme="minorEastAsia" w:hAnsiTheme="minorEastAsia"/>
          <w:color w:val="auto"/>
          <w:sz w:val="24"/>
        </w:rPr>
      </w:pPr>
      <w:r>
        <w:rPr>
          <w:rFonts w:hint="eastAsia" w:asciiTheme="minorEastAsia" w:hAnsiTheme="minorEastAsia"/>
          <w:color w:val="auto"/>
          <w:sz w:val="24"/>
        </w:rPr>
        <w:t>一、投标函</w:t>
      </w:r>
    </w:p>
    <w:p>
      <w:pPr>
        <w:spacing w:line="600" w:lineRule="exact"/>
        <w:ind w:left="480"/>
        <w:rPr>
          <w:rFonts w:asciiTheme="minorEastAsia" w:hAnsiTheme="minorEastAsia"/>
          <w:color w:val="auto"/>
          <w:sz w:val="24"/>
        </w:rPr>
      </w:pPr>
      <w:r>
        <w:rPr>
          <w:rFonts w:hint="eastAsia" w:asciiTheme="minorEastAsia" w:hAnsiTheme="minorEastAsia"/>
          <w:color w:val="auto"/>
          <w:sz w:val="24"/>
        </w:rPr>
        <w:t>二、法定代表身份证明和授权委托书</w:t>
      </w:r>
    </w:p>
    <w:p>
      <w:pPr>
        <w:spacing w:line="600" w:lineRule="exact"/>
        <w:ind w:left="480"/>
        <w:rPr>
          <w:rFonts w:asciiTheme="minorEastAsia" w:hAnsiTheme="minorEastAsia"/>
          <w:color w:val="auto"/>
          <w:sz w:val="24"/>
        </w:rPr>
      </w:pPr>
      <w:r>
        <w:rPr>
          <w:rFonts w:hint="eastAsia" w:asciiTheme="minorEastAsia" w:hAnsiTheme="minorEastAsia"/>
          <w:color w:val="auto"/>
          <w:sz w:val="24"/>
        </w:rPr>
        <w:t>三、投标人基本情况说明</w:t>
      </w:r>
    </w:p>
    <w:p>
      <w:pPr>
        <w:spacing w:line="600" w:lineRule="exact"/>
        <w:ind w:left="480"/>
        <w:rPr>
          <w:rFonts w:asciiTheme="minorEastAsia" w:hAnsiTheme="minorEastAsia"/>
          <w:color w:val="auto"/>
          <w:sz w:val="24"/>
        </w:rPr>
      </w:pPr>
      <w:r>
        <w:rPr>
          <w:rFonts w:hint="eastAsia" w:asciiTheme="minorEastAsia" w:hAnsiTheme="minorEastAsia"/>
          <w:color w:val="auto"/>
          <w:sz w:val="24"/>
        </w:rPr>
        <w:t>四、投标报价表</w:t>
      </w:r>
    </w:p>
    <w:p>
      <w:pPr>
        <w:spacing w:line="600" w:lineRule="exact"/>
        <w:ind w:left="480"/>
        <w:rPr>
          <w:rFonts w:asciiTheme="minorEastAsia" w:hAnsiTheme="minorEastAsia"/>
          <w:color w:val="auto"/>
          <w:sz w:val="24"/>
        </w:rPr>
      </w:pPr>
      <w:r>
        <w:rPr>
          <w:rFonts w:hint="eastAsia" w:asciiTheme="minorEastAsia" w:hAnsiTheme="minorEastAsia"/>
          <w:color w:val="auto"/>
          <w:sz w:val="24"/>
        </w:rPr>
        <w:t>五、投标承诺书</w:t>
      </w:r>
    </w:p>
    <w:p>
      <w:pPr>
        <w:spacing w:line="600" w:lineRule="exact"/>
        <w:ind w:left="480"/>
        <w:rPr>
          <w:rFonts w:asciiTheme="minorEastAsia" w:hAnsiTheme="minorEastAsia"/>
          <w:color w:val="auto"/>
          <w:sz w:val="24"/>
        </w:rPr>
      </w:pPr>
      <w:r>
        <w:rPr>
          <w:rFonts w:hint="eastAsia" w:asciiTheme="minorEastAsia" w:hAnsiTheme="minorEastAsia"/>
          <w:color w:val="auto"/>
          <w:sz w:val="24"/>
        </w:rPr>
        <w:t>六、拟投入本项目的人员情况表</w:t>
      </w:r>
    </w:p>
    <w:p>
      <w:pPr>
        <w:spacing w:line="600" w:lineRule="exact"/>
        <w:ind w:left="480"/>
        <w:rPr>
          <w:rFonts w:asciiTheme="minorEastAsia" w:hAnsiTheme="minorEastAsia"/>
          <w:color w:val="auto"/>
          <w:sz w:val="24"/>
        </w:rPr>
      </w:pPr>
      <w:r>
        <w:rPr>
          <w:rFonts w:hint="eastAsia" w:asciiTheme="minorEastAsia" w:hAnsiTheme="minorEastAsia"/>
          <w:color w:val="auto"/>
          <w:sz w:val="24"/>
        </w:rPr>
        <w:t>七、主要项目经营业绩表</w:t>
      </w:r>
    </w:p>
    <w:p>
      <w:pPr>
        <w:spacing w:line="600" w:lineRule="exact"/>
        <w:ind w:left="480"/>
        <w:rPr>
          <w:rFonts w:asciiTheme="minorEastAsia" w:hAnsiTheme="minorEastAsia"/>
          <w:color w:val="auto"/>
          <w:sz w:val="24"/>
        </w:rPr>
      </w:pPr>
      <w:r>
        <w:rPr>
          <w:rFonts w:hint="eastAsia" w:asciiTheme="minorEastAsia" w:hAnsiTheme="minorEastAsia"/>
          <w:color w:val="auto"/>
          <w:sz w:val="24"/>
        </w:rPr>
        <w:t>八、投标资格证明文件</w:t>
      </w:r>
    </w:p>
    <w:p>
      <w:pPr>
        <w:pStyle w:val="15"/>
        <w:rPr>
          <w:rFonts w:eastAsiaTheme="minorEastAsia"/>
          <w:color w:val="auto"/>
        </w:rPr>
      </w:pPr>
      <w:r>
        <w:rPr>
          <w:rFonts w:hint="eastAsia" w:asciiTheme="minorEastAsia" w:hAnsiTheme="minorEastAsia" w:eastAsiaTheme="minorEastAsia"/>
          <w:color w:val="auto"/>
          <w:kern w:val="2"/>
          <w:sz w:val="24"/>
        </w:rPr>
        <w:t>九、响应说明</w:t>
      </w:r>
    </w:p>
    <w:p>
      <w:pPr>
        <w:spacing w:line="600" w:lineRule="exact"/>
        <w:ind w:left="480"/>
        <w:rPr>
          <w:rFonts w:asciiTheme="minorEastAsia" w:hAnsiTheme="minorEastAsia"/>
          <w:color w:val="auto"/>
          <w:sz w:val="24"/>
        </w:rPr>
      </w:pPr>
      <w:r>
        <w:rPr>
          <w:rFonts w:hint="eastAsia" w:asciiTheme="minorEastAsia" w:hAnsiTheme="minorEastAsia"/>
          <w:color w:val="auto"/>
          <w:sz w:val="24"/>
        </w:rPr>
        <w:t>十、投标人需提供的其他资料</w:t>
      </w:r>
    </w:p>
    <w:p>
      <w:pPr>
        <w:spacing w:line="600" w:lineRule="exact"/>
        <w:ind w:left="480"/>
        <w:rPr>
          <w:rFonts w:asciiTheme="minorEastAsia" w:hAnsiTheme="minorEastAsia"/>
          <w:color w:val="auto"/>
          <w:sz w:val="24"/>
        </w:rPr>
      </w:pPr>
      <w:r>
        <w:rPr>
          <w:rFonts w:hint="eastAsia" w:asciiTheme="minorEastAsia" w:hAnsiTheme="minorEastAsia"/>
          <w:color w:val="auto"/>
          <w:sz w:val="24"/>
        </w:rPr>
        <w:t>十一、服务</w:t>
      </w:r>
      <w:r>
        <w:rPr>
          <w:rFonts w:hint="eastAsia" w:asciiTheme="minorEastAsia" w:hAnsiTheme="minorEastAsia"/>
          <w:bCs/>
          <w:color w:val="auto"/>
          <w:kern w:val="0"/>
          <w:sz w:val="24"/>
          <w:lang w:val="zh-CN"/>
        </w:rPr>
        <w:t>方案</w:t>
      </w:r>
    </w:p>
    <w:p>
      <w:pPr>
        <w:pStyle w:val="2"/>
        <w:numPr>
          <w:ilvl w:val="1"/>
          <w:numId w:val="0"/>
        </w:numPr>
        <w:spacing w:line="600" w:lineRule="exact"/>
        <w:rPr>
          <w:rFonts w:asciiTheme="minorEastAsia" w:hAnsiTheme="minorEastAsia" w:eastAsiaTheme="minorEastAsia"/>
          <w:color w:val="auto"/>
          <w:w w:val="100"/>
          <w:kern w:val="32"/>
        </w:rPr>
      </w:pPr>
      <w:r>
        <w:rPr>
          <w:rFonts w:asciiTheme="minorEastAsia" w:hAnsiTheme="minorEastAsia" w:eastAsiaTheme="minorEastAsia"/>
          <w:color w:val="auto"/>
          <w:sz w:val="24"/>
        </w:rPr>
        <w:br w:type="page"/>
      </w:r>
      <w:bookmarkStart w:id="103" w:name="_Toc318840511"/>
      <w:bookmarkStart w:id="104" w:name="_Toc321052835"/>
      <w:bookmarkStart w:id="105" w:name="_Toc227520436"/>
      <w:r>
        <w:rPr>
          <w:rFonts w:hint="eastAsia" w:asciiTheme="minorEastAsia" w:hAnsiTheme="minorEastAsia" w:eastAsiaTheme="minorEastAsia"/>
          <w:color w:val="auto"/>
          <w:w w:val="100"/>
          <w:kern w:val="32"/>
        </w:rPr>
        <w:t>一、投标函</w:t>
      </w:r>
      <w:bookmarkEnd w:id="103"/>
      <w:bookmarkEnd w:id="104"/>
    </w:p>
    <w:p>
      <w:pPr>
        <w:spacing w:line="400" w:lineRule="exact"/>
        <w:rPr>
          <w:rFonts w:asciiTheme="minorEastAsia" w:hAnsiTheme="minorEastAsia"/>
          <w:color w:val="auto"/>
          <w:sz w:val="24"/>
        </w:rPr>
      </w:pPr>
      <w:r>
        <w:rPr>
          <w:rFonts w:hint="eastAsia" w:asciiTheme="minorEastAsia" w:hAnsiTheme="minorEastAsia"/>
          <w:color w:val="auto"/>
          <w:sz w:val="24"/>
        </w:rPr>
        <w:t>致</w:t>
      </w:r>
      <w:r>
        <w:rPr>
          <w:rFonts w:hint="eastAsia" w:asciiTheme="minorEastAsia" w:hAnsiTheme="minorEastAsia"/>
          <w:color w:val="auto"/>
          <w:sz w:val="24"/>
          <w:u w:val="single"/>
        </w:rPr>
        <w:t xml:space="preserve">               </w:t>
      </w:r>
      <w:r>
        <w:rPr>
          <w:rFonts w:hint="eastAsia" w:asciiTheme="minorEastAsia" w:hAnsiTheme="minorEastAsia"/>
          <w:color w:val="auto"/>
          <w:sz w:val="24"/>
        </w:rPr>
        <w:t>（招标人）：</w:t>
      </w:r>
    </w:p>
    <w:p>
      <w:pPr>
        <w:spacing w:line="400" w:lineRule="exact"/>
        <w:ind w:firstLine="480"/>
        <w:rPr>
          <w:rFonts w:asciiTheme="minorEastAsia" w:hAnsiTheme="minorEastAsia"/>
          <w:color w:val="auto"/>
          <w:sz w:val="24"/>
        </w:rPr>
      </w:pPr>
      <w:r>
        <w:rPr>
          <w:rFonts w:hint="eastAsia" w:asciiTheme="minorEastAsia" w:hAnsiTheme="minorEastAsia"/>
          <w:color w:val="auto"/>
          <w:sz w:val="24"/>
        </w:rPr>
        <w:t>1、根据已收到</w:t>
      </w:r>
      <w:r>
        <w:rPr>
          <w:rFonts w:hint="eastAsia" w:asciiTheme="minorEastAsia" w:hAnsiTheme="minorEastAsia"/>
          <w:color w:val="auto"/>
          <w:sz w:val="24"/>
          <w:u w:val="single"/>
        </w:rPr>
        <w:t xml:space="preserve">         （项目名称）         </w:t>
      </w:r>
      <w:r>
        <w:rPr>
          <w:rFonts w:hint="eastAsia" w:asciiTheme="minorEastAsia" w:hAnsiTheme="minorEastAsia"/>
          <w:color w:val="auto"/>
          <w:sz w:val="24"/>
        </w:rPr>
        <w:t xml:space="preserve"> 招标文件，我单位经踏勘项目现场和研究上述招标文件的投标须知、合同条款、相关情况说明和要求及其他有关文件后，我方愿以投标报价表中的价格进行报价。</w:t>
      </w:r>
    </w:p>
    <w:p>
      <w:pPr>
        <w:spacing w:line="400" w:lineRule="exact"/>
        <w:ind w:firstLine="480"/>
        <w:rPr>
          <w:rFonts w:asciiTheme="minorEastAsia" w:hAnsiTheme="minorEastAsia"/>
          <w:color w:val="auto"/>
          <w:sz w:val="24"/>
        </w:rPr>
      </w:pPr>
      <w:r>
        <w:rPr>
          <w:rFonts w:hint="eastAsia" w:asciiTheme="minorEastAsia" w:hAnsiTheme="minorEastAsia"/>
          <w:color w:val="auto"/>
          <w:sz w:val="24"/>
        </w:rPr>
        <w:t>2、我方已详细审核全部招标文件，包括修改文件（如有时）及有关附件，并对上述内容完全响应。</w:t>
      </w:r>
    </w:p>
    <w:p>
      <w:pPr>
        <w:spacing w:line="400" w:lineRule="exact"/>
        <w:ind w:firstLine="480"/>
        <w:rPr>
          <w:rFonts w:asciiTheme="minorEastAsia" w:hAnsiTheme="minorEastAsia"/>
          <w:color w:val="auto"/>
          <w:sz w:val="24"/>
        </w:rPr>
      </w:pPr>
      <w:r>
        <w:rPr>
          <w:rFonts w:hint="eastAsia" w:asciiTheme="minorEastAsia" w:hAnsiTheme="minorEastAsia"/>
          <w:color w:val="auto"/>
          <w:sz w:val="24"/>
        </w:rPr>
        <w:t>3、我方同意所提交的投标文件在</w:t>
      </w:r>
      <w:r>
        <w:rPr>
          <w:rFonts w:hint="eastAsia" w:asciiTheme="minorEastAsia" w:hAnsiTheme="minorEastAsia"/>
          <w:color w:val="auto"/>
          <w:sz w:val="24"/>
          <w:u w:val="single"/>
        </w:rPr>
        <w:t xml:space="preserve">30 </w:t>
      </w:r>
      <w:r>
        <w:rPr>
          <w:rFonts w:hint="eastAsia" w:asciiTheme="minorEastAsia" w:hAnsiTheme="minorEastAsia"/>
          <w:color w:val="auto"/>
          <w:sz w:val="24"/>
        </w:rPr>
        <w:t>天的投标有效期内有效，在此期间内如果中标，我方将受此约束。</w:t>
      </w:r>
    </w:p>
    <w:p>
      <w:pPr>
        <w:spacing w:line="400" w:lineRule="exact"/>
        <w:ind w:firstLine="480"/>
        <w:rPr>
          <w:rFonts w:asciiTheme="minorEastAsia" w:hAnsiTheme="minorEastAsia"/>
          <w:color w:val="auto"/>
          <w:sz w:val="24"/>
        </w:rPr>
      </w:pPr>
      <w:r>
        <w:rPr>
          <w:rFonts w:hint="eastAsia" w:asciiTheme="minorEastAsia" w:hAnsiTheme="minorEastAsia"/>
          <w:color w:val="auto"/>
          <w:sz w:val="24"/>
        </w:rPr>
        <w:t>4、除非另外达成协议并生效，你方的中标通知书和本投标文件将成为约束双方的合同文件的组成部分。</w:t>
      </w:r>
    </w:p>
    <w:p>
      <w:pPr>
        <w:spacing w:line="400" w:lineRule="exact"/>
        <w:ind w:firstLine="480" w:firstLineChars="200"/>
        <w:rPr>
          <w:rFonts w:asciiTheme="minorEastAsia" w:hAnsiTheme="minorEastAsia"/>
          <w:color w:val="auto"/>
          <w:sz w:val="24"/>
        </w:rPr>
      </w:pPr>
      <w:r>
        <w:rPr>
          <w:rFonts w:hint="eastAsia" w:asciiTheme="minorEastAsia" w:hAnsiTheme="minorEastAsia"/>
          <w:color w:val="auto"/>
          <w:sz w:val="24"/>
        </w:rPr>
        <w:t>5、我方严格按照招标文件的规定报价，如被确定为中标人后，全面履行合同。</w:t>
      </w:r>
    </w:p>
    <w:p>
      <w:pPr>
        <w:spacing w:line="360" w:lineRule="auto"/>
        <w:ind w:firstLine="495"/>
        <w:rPr>
          <w:rFonts w:asciiTheme="minorEastAsia" w:hAnsiTheme="minorEastAsia"/>
          <w:color w:val="auto"/>
          <w:szCs w:val="21"/>
        </w:rPr>
      </w:pPr>
    </w:p>
    <w:p>
      <w:pPr>
        <w:spacing w:line="360" w:lineRule="auto"/>
        <w:ind w:firstLine="495"/>
        <w:rPr>
          <w:rFonts w:asciiTheme="minorEastAsia" w:hAnsiTheme="minorEastAsia"/>
          <w:color w:val="auto"/>
          <w:szCs w:val="21"/>
        </w:rPr>
      </w:pPr>
      <w:r>
        <w:rPr>
          <w:rFonts w:hint="eastAsia" w:asciiTheme="minorEastAsia" w:hAnsiTheme="minorEastAsia"/>
          <w:color w:val="auto"/>
          <w:szCs w:val="21"/>
        </w:rPr>
        <w:t>投 标 人：</w:t>
      </w:r>
      <w:bookmarkStart w:id="106" w:name="S_8_010"/>
      <w:r>
        <w:rPr>
          <w:rFonts w:hint="eastAsia" w:asciiTheme="minorEastAsia" w:hAnsiTheme="minorEastAsia"/>
          <w:color w:val="auto"/>
          <w:szCs w:val="21"/>
          <w:u w:val="single"/>
        </w:rPr>
        <w:t xml:space="preserve">               （全称）                </w:t>
      </w:r>
      <w:bookmarkEnd w:id="106"/>
      <w:r>
        <w:rPr>
          <w:rFonts w:hint="eastAsia" w:asciiTheme="minorEastAsia" w:hAnsiTheme="minorEastAsia"/>
          <w:color w:val="auto"/>
          <w:szCs w:val="21"/>
        </w:rPr>
        <w:t>（盖单位公章）</w:t>
      </w:r>
    </w:p>
    <w:p>
      <w:pPr>
        <w:spacing w:line="360" w:lineRule="auto"/>
        <w:ind w:firstLine="495"/>
        <w:rPr>
          <w:rFonts w:asciiTheme="minorEastAsia" w:hAnsiTheme="minorEastAsia"/>
          <w:color w:val="auto"/>
          <w:szCs w:val="21"/>
        </w:rPr>
      </w:pPr>
    </w:p>
    <w:p>
      <w:pPr>
        <w:spacing w:line="360" w:lineRule="auto"/>
        <w:ind w:firstLine="495"/>
        <w:rPr>
          <w:rFonts w:asciiTheme="minorEastAsia" w:hAnsiTheme="minorEastAsia"/>
          <w:color w:val="auto"/>
          <w:szCs w:val="21"/>
          <w:u w:val="single"/>
        </w:rPr>
      </w:pPr>
      <w:r>
        <w:rPr>
          <w:rFonts w:hint="eastAsia" w:asciiTheme="minorEastAsia" w:hAnsiTheme="minorEastAsia"/>
          <w:color w:val="auto"/>
          <w:szCs w:val="21"/>
        </w:rPr>
        <w:t>单位地址：</w:t>
      </w:r>
      <w:bookmarkStart w:id="107" w:name="S_8_011"/>
      <w:r>
        <w:rPr>
          <w:rFonts w:hint="eastAsia" w:asciiTheme="minorEastAsia" w:hAnsiTheme="minorEastAsia"/>
          <w:color w:val="auto"/>
          <w:szCs w:val="21"/>
          <w:u w:val="single"/>
        </w:rPr>
        <w:t xml:space="preserve">                                        </w:t>
      </w:r>
      <w:bookmarkEnd w:id="107"/>
    </w:p>
    <w:p>
      <w:pPr>
        <w:spacing w:line="360" w:lineRule="auto"/>
        <w:ind w:firstLine="495"/>
        <w:rPr>
          <w:rFonts w:asciiTheme="minorEastAsia" w:hAnsiTheme="minorEastAsia"/>
          <w:color w:val="auto"/>
          <w:szCs w:val="21"/>
        </w:rPr>
      </w:pPr>
    </w:p>
    <w:p>
      <w:pPr>
        <w:spacing w:line="360" w:lineRule="auto"/>
        <w:ind w:firstLine="495"/>
        <w:rPr>
          <w:rFonts w:asciiTheme="minorEastAsia" w:hAnsiTheme="minorEastAsia"/>
          <w:color w:val="auto"/>
          <w:szCs w:val="21"/>
        </w:rPr>
      </w:pPr>
      <w:r>
        <w:rPr>
          <w:rFonts w:hint="eastAsia" w:asciiTheme="minorEastAsia" w:hAnsiTheme="minorEastAsia"/>
          <w:color w:val="auto"/>
          <w:szCs w:val="21"/>
        </w:rPr>
        <w:t>法定代表人或其委托代理人：</w:t>
      </w:r>
      <w:bookmarkStart w:id="108" w:name="S_8_012"/>
      <w:r>
        <w:rPr>
          <w:rFonts w:hint="eastAsia" w:asciiTheme="minorEastAsia" w:hAnsiTheme="minorEastAsia"/>
          <w:color w:val="auto"/>
          <w:szCs w:val="21"/>
          <w:u w:val="single"/>
        </w:rPr>
        <w:t xml:space="preserve">                </w:t>
      </w:r>
      <w:bookmarkEnd w:id="108"/>
      <w:r>
        <w:rPr>
          <w:rFonts w:hint="eastAsia" w:asciiTheme="minorEastAsia" w:hAnsiTheme="minorEastAsia"/>
          <w:color w:val="auto"/>
          <w:szCs w:val="21"/>
        </w:rPr>
        <w:t>（签字或盖章）</w:t>
      </w:r>
    </w:p>
    <w:p>
      <w:pPr>
        <w:spacing w:line="360" w:lineRule="auto"/>
        <w:ind w:firstLine="495"/>
        <w:rPr>
          <w:rFonts w:asciiTheme="minorEastAsia" w:hAnsiTheme="minorEastAsia"/>
          <w:color w:val="auto"/>
          <w:szCs w:val="21"/>
        </w:rPr>
      </w:pPr>
    </w:p>
    <w:p>
      <w:pPr>
        <w:wordWrap w:val="0"/>
        <w:spacing w:line="360" w:lineRule="auto"/>
        <w:jc w:val="right"/>
        <w:rPr>
          <w:rFonts w:asciiTheme="minorEastAsia" w:hAnsiTheme="minorEastAsia"/>
          <w:color w:val="auto"/>
          <w:szCs w:val="21"/>
        </w:rPr>
      </w:pPr>
      <w:bookmarkStart w:id="109" w:name="S_8_020"/>
      <w:r>
        <w:rPr>
          <w:rFonts w:hint="eastAsia" w:asciiTheme="minorEastAsia" w:hAnsiTheme="minorEastAsia"/>
          <w:color w:val="auto"/>
          <w:szCs w:val="21"/>
          <w:u w:val="single"/>
        </w:rPr>
        <w:t xml:space="preserve">         </w:t>
      </w:r>
      <w:bookmarkEnd w:id="109"/>
      <w:r>
        <w:rPr>
          <w:rFonts w:hint="eastAsia" w:asciiTheme="minorEastAsia" w:hAnsiTheme="minorEastAsia"/>
          <w:color w:val="auto"/>
          <w:szCs w:val="21"/>
        </w:rPr>
        <w:t>年</w:t>
      </w:r>
      <w:bookmarkStart w:id="110" w:name="S_8_021"/>
      <w:r>
        <w:rPr>
          <w:rFonts w:hint="eastAsia" w:asciiTheme="minorEastAsia" w:hAnsiTheme="minorEastAsia"/>
          <w:color w:val="auto"/>
          <w:szCs w:val="21"/>
          <w:u w:val="single"/>
        </w:rPr>
        <w:t xml:space="preserve">       </w:t>
      </w:r>
      <w:bookmarkEnd w:id="110"/>
      <w:r>
        <w:rPr>
          <w:rFonts w:hint="eastAsia" w:asciiTheme="minorEastAsia" w:hAnsiTheme="minorEastAsia"/>
          <w:color w:val="auto"/>
          <w:szCs w:val="21"/>
        </w:rPr>
        <w:t>月</w:t>
      </w:r>
      <w:bookmarkStart w:id="111" w:name="S_8_022"/>
      <w:r>
        <w:rPr>
          <w:rFonts w:hint="eastAsia" w:asciiTheme="minorEastAsia" w:hAnsiTheme="minorEastAsia"/>
          <w:color w:val="auto"/>
          <w:szCs w:val="21"/>
          <w:u w:val="single"/>
        </w:rPr>
        <w:t xml:space="preserve">        </w:t>
      </w:r>
      <w:bookmarkEnd w:id="111"/>
      <w:r>
        <w:rPr>
          <w:rFonts w:hint="eastAsia" w:asciiTheme="minorEastAsia" w:hAnsiTheme="minorEastAsia"/>
          <w:color w:val="auto"/>
          <w:szCs w:val="21"/>
        </w:rPr>
        <w:t>日</w:t>
      </w:r>
    </w:p>
    <w:p>
      <w:pPr>
        <w:spacing w:line="400" w:lineRule="exact"/>
        <w:ind w:left="4200" w:leftChars="2000" w:firstLine="1785" w:firstLineChars="850"/>
        <w:rPr>
          <w:rFonts w:asciiTheme="minorEastAsia" w:hAnsiTheme="minorEastAsia"/>
          <w:color w:val="auto"/>
          <w:sz w:val="24"/>
        </w:rPr>
      </w:pPr>
      <w:r>
        <w:rPr>
          <w:rFonts w:asciiTheme="minorEastAsia" w:hAnsiTheme="minorEastAsia"/>
          <w:color w:val="auto"/>
        </w:rPr>
        <w:br w:type="page"/>
      </w:r>
      <w:bookmarkEnd w:id="105"/>
    </w:p>
    <w:p>
      <w:pPr>
        <w:pStyle w:val="2"/>
        <w:numPr>
          <w:ilvl w:val="1"/>
          <w:numId w:val="0"/>
        </w:numPr>
        <w:spacing w:line="600" w:lineRule="exact"/>
        <w:jc w:val="center"/>
        <w:rPr>
          <w:rFonts w:asciiTheme="minorEastAsia" w:hAnsiTheme="minorEastAsia" w:eastAsiaTheme="minorEastAsia"/>
          <w:color w:val="auto"/>
          <w:w w:val="100"/>
          <w:kern w:val="32"/>
        </w:rPr>
      </w:pPr>
      <w:bookmarkStart w:id="112" w:name="_Toc321052836"/>
      <w:bookmarkStart w:id="113" w:name="_Toc318840512"/>
      <w:r>
        <w:rPr>
          <w:rFonts w:hint="eastAsia" w:asciiTheme="minorEastAsia" w:hAnsiTheme="minorEastAsia" w:eastAsiaTheme="minorEastAsia"/>
          <w:color w:val="auto"/>
          <w:w w:val="100"/>
          <w:kern w:val="32"/>
        </w:rPr>
        <w:t>二、法定代表人身份证明</w:t>
      </w:r>
      <w:bookmarkEnd w:id="112"/>
    </w:p>
    <w:p>
      <w:pPr>
        <w:tabs>
          <w:tab w:val="left" w:pos="7920"/>
        </w:tabs>
        <w:spacing w:line="360" w:lineRule="auto"/>
        <w:rPr>
          <w:rFonts w:asciiTheme="minorEastAsia" w:hAnsiTheme="minorEastAsia"/>
          <w:color w:val="auto"/>
          <w:sz w:val="24"/>
        </w:rPr>
      </w:pPr>
    </w:p>
    <w:p>
      <w:pPr>
        <w:spacing w:line="480" w:lineRule="auto"/>
        <w:rPr>
          <w:rFonts w:asciiTheme="minorEastAsia" w:hAnsiTheme="minorEastAsia"/>
          <w:color w:val="auto"/>
          <w:sz w:val="24"/>
          <w:u w:val="single"/>
        </w:rPr>
      </w:pPr>
      <w:r>
        <w:rPr>
          <w:rFonts w:asciiTheme="minorEastAsia" w:hAnsiTheme="minorEastAsia"/>
          <w:color w:val="auto"/>
          <w:sz w:val="24"/>
        </w:rPr>
        <w:t>投标人名称：</w:t>
      </w:r>
      <w:r>
        <w:rPr>
          <w:rFonts w:asciiTheme="minorEastAsia" w:hAnsiTheme="minorEastAsia"/>
          <w:color w:val="auto"/>
          <w:sz w:val="24"/>
          <w:u w:val="single"/>
        </w:rPr>
        <w:t xml:space="preserve">                             </w:t>
      </w:r>
    </w:p>
    <w:p>
      <w:pPr>
        <w:spacing w:line="480" w:lineRule="auto"/>
        <w:rPr>
          <w:rFonts w:asciiTheme="minorEastAsia" w:hAnsiTheme="minorEastAsia"/>
          <w:color w:val="auto"/>
          <w:sz w:val="24"/>
        </w:rPr>
      </w:pPr>
      <w:r>
        <w:rPr>
          <w:rFonts w:asciiTheme="minorEastAsia" w:hAnsiTheme="minorEastAsia"/>
          <w:color w:val="auto"/>
          <w:sz w:val="24"/>
        </w:rPr>
        <w:t>单位性质：</w:t>
      </w:r>
      <w:r>
        <w:rPr>
          <w:rFonts w:asciiTheme="minorEastAsia" w:hAnsiTheme="minorEastAsia"/>
          <w:color w:val="auto"/>
          <w:sz w:val="24"/>
          <w:u w:val="single"/>
        </w:rPr>
        <w:t xml:space="preserve">                               </w:t>
      </w:r>
    </w:p>
    <w:p>
      <w:pPr>
        <w:spacing w:line="480" w:lineRule="auto"/>
        <w:rPr>
          <w:rFonts w:asciiTheme="minorEastAsia" w:hAnsiTheme="minorEastAsia"/>
          <w:color w:val="auto"/>
          <w:sz w:val="24"/>
        </w:rPr>
      </w:pPr>
      <w:r>
        <w:rPr>
          <w:rFonts w:asciiTheme="minorEastAsia" w:hAnsiTheme="minorEastAsia"/>
          <w:color w:val="auto"/>
          <w:sz w:val="24"/>
        </w:rPr>
        <w:t>地址：</w:t>
      </w:r>
      <w:r>
        <w:rPr>
          <w:rFonts w:asciiTheme="minorEastAsia" w:hAnsiTheme="minorEastAsia"/>
          <w:color w:val="auto"/>
          <w:sz w:val="24"/>
          <w:u w:val="single"/>
        </w:rPr>
        <w:t xml:space="preserve">                                   </w:t>
      </w:r>
    </w:p>
    <w:p>
      <w:pPr>
        <w:spacing w:line="480" w:lineRule="auto"/>
        <w:rPr>
          <w:rFonts w:asciiTheme="minorEastAsia" w:hAnsiTheme="minorEastAsia"/>
          <w:color w:val="auto"/>
          <w:sz w:val="24"/>
        </w:rPr>
      </w:pPr>
      <w:r>
        <w:rPr>
          <w:rFonts w:asciiTheme="minorEastAsia" w:hAnsiTheme="minorEastAsia"/>
          <w:color w:val="auto"/>
          <w:sz w:val="24"/>
        </w:rPr>
        <w:t>成立时间：</w:t>
      </w:r>
      <w:r>
        <w:rPr>
          <w:rFonts w:asciiTheme="minorEastAsia" w:hAnsiTheme="minorEastAsia"/>
          <w:color w:val="auto"/>
          <w:sz w:val="24"/>
          <w:u w:val="single"/>
        </w:rPr>
        <w:t xml:space="preserve">          </w:t>
      </w:r>
      <w:r>
        <w:rPr>
          <w:rFonts w:asciiTheme="minorEastAsia" w:hAnsiTheme="minorEastAsia"/>
          <w:color w:val="auto"/>
          <w:sz w:val="24"/>
        </w:rPr>
        <w:t>年</w:t>
      </w:r>
      <w:r>
        <w:rPr>
          <w:rFonts w:asciiTheme="minorEastAsia" w:hAnsiTheme="minorEastAsia"/>
          <w:color w:val="auto"/>
          <w:sz w:val="24"/>
          <w:u w:val="single"/>
        </w:rPr>
        <w:t xml:space="preserve">       </w:t>
      </w:r>
      <w:r>
        <w:rPr>
          <w:rFonts w:asciiTheme="minorEastAsia" w:hAnsiTheme="minorEastAsia"/>
          <w:color w:val="auto"/>
          <w:sz w:val="24"/>
        </w:rPr>
        <w:t>月</w:t>
      </w:r>
      <w:r>
        <w:rPr>
          <w:rFonts w:asciiTheme="minorEastAsia" w:hAnsiTheme="minorEastAsia"/>
          <w:color w:val="auto"/>
          <w:sz w:val="24"/>
          <w:u w:val="single"/>
        </w:rPr>
        <w:t xml:space="preserve">       </w:t>
      </w:r>
      <w:r>
        <w:rPr>
          <w:rFonts w:asciiTheme="minorEastAsia" w:hAnsiTheme="minorEastAsia"/>
          <w:color w:val="auto"/>
          <w:sz w:val="24"/>
        </w:rPr>
        <w:t>日</w:t>
      </w:r>
    </w:p>
    <w:p>
      <w:pPr>
        <w:spacing w:line="480" w:lineRule="auto"/>
        <w:rPr>
          <w:rFonts w:asciiTheme="minorEastAsia" w:hAnsiTheme="minorEastAsia"/>
          <w:color w:val="auto"/>
          <w:sz w:val="24"/>
        </w:rPr>
      </w:pPr>
      <w:r>
        <w:rPr>
          <w:rFonts w:asciiTheme="minorEastAsia" w:hAnsiTheme="minorEastAsia"/>
          <w:color w:val="auto"/>
          <w:sz w:val="24"/>
        </w:rPr>
        <w:t>经营期限：</w:t>
      </w:r>
      <w:r>
        <w:rPr>
          <w:rFonts w:asciiTheme="minorEastAsia" w:hAnsiTheme="minorEastAsia"/>
          <w:color w:val="auto"/>
          <w:sz w:val="24"/>
          <w:u w:val="single"/>
        </w:rPr>
        <w:t xml:space="preserve">                               </w:t>
      </w:r>
    </w:p>
    <w:p>
      <w:pPr>
        <w:spacing w:line="480" w:lineRule="auto"/>
        <w:rPr>
          <w:rFonts w:asciiTheme="minorEastAsia" w:hAnsiTheme="minorEastAsia"/>
          <w:color w:val="auto"/>
          <w:sz w:val="24"/>
        </w:rPr>
      </w:pPr>
      <w:r>
        <w:rPr>
          <w:rFonts w:asciiTheme="minorEastAsia" w:hAnsiTheme="minorEastAsia"/>
          <w:color w:val="auto"/>
          <w:sz w:val="24"/>
        </w:rPr>
        <w:t>姓名：</w:t>
      </w:r>
      <w:r>
        <w:rPr>
          <w:rFonts w:asciiTheme="minorEastAsia" w:hAnsiTheme="minorEastAsia"/>
          <w:color w:val="auto"/>
          <w:sz w:val="24"/>
          <w:u w:val="single"/>
        </w:rPr>
        <w:t xml:space="preserve">           </w:t>
      </w:r>
      <w:r>
        <w:rPr>
          <w:rFonts w:asciiTheme="minorEastAsia" w:hAnsiTheme="minorEastAsia"/>
          <w:color w:val="auto"/>
          <w:sz w:val="24"/>
        </w:rPr>
        <w:t>性别：</w:t>
      </w:r>
      <w:r>
        <w:rPr>
          <w:rFonts w:asciiTheme="minorEastAsia" w:hAnsiTheme="minorEastAsia"/>
          <w:color w:val="auto"/>
          <w:sz w:val="24"/>
          <w:u w:val="single"/>
        </w:rPr>
        <w:t xml:space="preserve">           </w:t>
      </w:r>
      <w:r>
        <w:rPr>
          <w:rFonts w:asciiTheme="minorEastAsia" w:hAnsiTheme="minorEastAsia"/>
          <w:color w:val="auto"/>
          <w:sz w:val="24"/>
        </w:rPr>
        <w:t>年龄：</w:t>
      </w:r>
      <w:r>
        <w:rPr>
          <w:rFonts w:asciiTheme="minorEastAsia" w:hAnsiTheme="minorEastAsia"/>
          <w:color w:val="auto"/>
          <w:sz w:val="24"/>
          <w:u w:val="single"/>
        </w:rPr>
        <w:t xml:space="preserve">           </w:t>
      </w:r>
      <w:r>
        <w:rPr>
          <w:rFonts w:asciiTheme="minorEastAsia" w:hAnsiTheme="minorEastAsia"/>
          <w:color w:val="auto"/>
          <w:sz w:val="24"/>
        </w:rPr>
        <w:t>职务：</w:t>
      </w:r>
      <w:r>
        <w:rPr>
          <w:rFonts w:asciiTheme="minorEastAsia" w:hAnsiTheme="minorEastAsia"/>
          <w:color w:val="auto"/>
          <w:sz w:val="24"/>
          <w:u w:val="single"/>
        </w:rPr>
        <w:t xml:space="preserve">           </w:t>
      </w:r>
    </w:p>
    <w:p>
      <w:pPr>
        <w:spacing w:line="480" w:lineRule="auto"/>
        <w:rPr>
          <w:rFonts w:asciiTheme="minorEastAsia" w:hAnsiTheme="minorEastAsia"/>
          <w:color w:val="auto"/>
          <w:sz w:val="24"/>
        </w:rPr>
      </w:pPr>
      <w:r>
        <w:rPr>
          <w:rFonts w:asciiTheme="minorEastAsia" w:hAnsiTheme="minorEastAsia"/>
          <w:color w:val="auto"/>
          <w:sz w:val="24"/>
        </w:rPr>
        <w:t>系</w:t>
      </w:r>
      <w:r>
        <w:rPr>
          <w:rFonts w:asciiTheme="minorEastAsia" w:hAnsiTheme="minorEastAsia"/>
          <w:color w:val="auto"/>
          <w:sz w:val="24"/>
          <w:u w:val="single"/>
        </w:rPr>
        <w:t xml:space="preserve">              </w:t>
      </w:r>
      <w:r>
        <w:rPr>
          <w:rFonts w:asciiTheme="minorEastAsia" w:hAnsiTheme="minorEastAsia"/>
          <w:color w:val="auto"/>
          <w:sz w:val="24"/>
        </w:rPr>
        <w:t>（投标人名称）的法定代表人。</w:t>
      </w:r>
    </w:p>
    <w:p>
      <w:pPr>
        <w:spacing w:line="480" w:lineRule="auto"/>
        <w:ind w:firstLine="480" w:firstLineChars="200"/>
        <w:rPr>
          <w:rFonts w:asciiTheme="minorEastAsia" w:hAnsiTheme="minorEastAsia"/>
          <w:color w:val="auto"/>
          <w:sz w:val="24"/>
        </w:rPr>
      </w:pPr>
    </w:p>
    <w:p>
      <w:pPr>
        <w:spacing w:line="480" w:lineRule="auto"/>
        <w:ind w:firstLine="480" w:firstLineChars="200"/>
        <w:rPr>
          <w:rFonts w:asciiTheme="minorEastAsia" w:hAnsiTheme="minorEastAsia"/>
          <w:color w:val="auto"/>
          <w:sz w:val="24"/>
        </w:rPr>
      </w:pPr>
      <w:r>
        <w:rPr>
          <w:rFonts w:asciiTheme="minorEastAsia" w:hAnsiTheme="minorEastAsia"/>
          <w:color w:val="auto"/>
          <w:sz w:val="24"/>
        </w:rPr>
        <w:t>特此证明。</w:t>
      </w:r>
    </w:p>
    <w:p>
      <w:pPr>
        <w:spacing w:line="360" w:lineRule="auto"/>
        <w:rPr>
          <w:rFonts w:asciiTheme="minorEastAsia" w:hAnsiTheme="minorEastAsia"/>
          <w:color w:val="auto"/>
          <w:sz w:val="24"/>
        </w:rPr>
      </w:pPr>
    </w:p>
    <w:p>
      <w:pPr>
        <w:spacing w:line="360" w:lineRule="auto"/>
        <w:rPr>
          <w:rFonts w:asciiTheme="minorEastAsia" w:hAnsiTheme="minorEastAsia"/>
          <w:color w:val="auto"/>
          <w:sz w:val="24"/>
        </w:rPr>
      </w:pPr>
    </w:p>
    <w:p>
      <w:pPr>
        <w:spacing w:line="360" w:lineRule="auto"/>
        <w:jc w:val="right"/>
        <w:rPr>
          <w:rFonts w:asciiTheme="minorEastAsia" w:hAnsiTheme="minorEastAsia"/>
          <w:color w:val="auto"/>
          <w:sz w:val="24"/>
        </w:rPr>
      </w:pPr>
      <w:r>
        <w:rPr>
          <w:rFonts w:asciiTheme="minorEastAsia" w:hAnsiTheme="minorEastAsia"/>
          <w:color w:val="auto"/>
          <w:sz w:val="24"/>
        </w:rPr>
        <w:t>投标人：</w:t>
      </w:r>
      <w:r>
        <w:rPr>
          <w:rFonts w:asciiTheme="minorEastAsia" w:hAnsiTheme="minorEastAsia"/>
          <w:color w:val="auto"/>
          <w:sz w:val="24"/>
          <w:u w:val="single"/>
        </w:rPr>
        <w:t xml:space="preserve">     （全称）      </w:t>
      </w:r>
      <w:r>
        <w:rPr>
          <w:rFonts w:asciiTheme="minorEastAsia" w:hAnsiTheme="minorEastAsia"/>
          <w:color w:val="auto"/>
          <w:sz w:val="24"/>
        </w:rPr>
        <w:t>（盖单位公章）</w:t>
      </w:r>
    </w:p>
    <w:p>
      <w:pPr>
        <w:wordWrap w:val="0"/>
        <w:spacing w:line="360" w:lineRule="auto"/>
        <w:jc w:val="right"/>
        <w:rPr>
          <w:rFonts w:asciiTheme="minorEastAsia" w:hAnsiTheme="minorEastAsia"/>
          <w:color w:val="auto"/>
          <w:sz w:val="24"/>
          <w:u w:val="single"/>
        </w:rPr>
      </w:pPr>
    </w:p>
    <w:p>
      <w:pPr>
        <w:spacing w:line="360" w:lineRule="auto"/>
        <w:jc w:val="right"/>
        <w:rPr>
          <w:rFonts w:asciiTheme="minorEastAsia" w:hAnsiTheme="minorEastAsia"/>
          <w:color w:val="auto"/>
          <w:sz w:val="24"/>
        </w:rPr>
      </w:pPr>
      <w:r>
        <w:rPr>
          <w:rFonts w:asciiTheme="minorEastAsia" w:hAnsiTheme="minorEastAsia"/>
          <w:color w:val="auto"/>
          <w:sz w:val="24"/>
          <w:u w:val="single"/>
        </w:rPr>
        <w:t xml:space="preserve">       </w:t>
      </w:r>
      <w:r>
        <w:rPr>
          <w:rFonts w:asciiTheme="minorEastAsia" w:hAnsiTheme="minorEastAsia"/>
          <w:color w:val="auto"/>
          <w:sz w:val="24"/>
        </w:rPr>
        <w:t>年</w:t>
      </w:r>
      <w:r>
        <w:rPr>
          <w:rFonts w:asciiTheme="minorEastAsia" w:hAnsiTheme="minorEastAsia"/>
          <w:color w:val="auto"/>
          <w:sz w:val="24"/>
          <w:u w:val="single"/>
        </w:rPr>
        <w:t xml:space="preserve">    </w:t>
      </w:r>
      <w:r>
        <w:rPr>
          <w:rFonts w:asciiTheme="minorEastAsia" w:hAnsiTheme="minorEastAsia"/>
          <w:color w:val="auto"/>
          <w:sz w:val="24"/>
        </w:rPr>
        <w:t>月</w:t>
      </w:r>
      <w:r>
        <w:rPr>
          <w:rFonts w:asciiTheme="minorEastAsia" w:hAnsiTheme="minorEastAsia"/>
          <w:color w:val="auto"/>
          <w:sz w:val="24"/>
          <w:u w:val="single"/>
        </w:rPr>
        <w:t xml:space="preserve">    </w:t>
      </w:r>
      <w:r>
        <w:rPr>
          <w:rFonts w:asciiTheme="minorEastAsia" w:hAnsiTheme="minorEastAsia"/>
          <w:color w:val="auto"/>
          <w:sz w:val="24"/>
        </w:rPr>
        <w:t>日</w:t>
      </w:r>
    </w:p>
    <w:p>
      <w:pPr>
        <w:spacing w:line="440" w:lineRule="exact"/>
        <w:rPr>
          <w:rFonts w:asciiTheme="minorEastAsia" w:hAnsiTheme="minorEastAsia"/>
          <w:color w:val="auto"/>
          <w:sz w:val="24"/>
        </w:rPr>
      </w:pPr>
      <w:r>
        <w:rPr>
          <w:rFonts w:hint="eastAsia" w:asciiTheme="minorEastAsia" w:hAnsiTheme="minorEastAsia"/>
          <w:b/>
          <w:color w:val="auto"/>
          <w:sz w:val="24"/>
        </w:rPr>
        <w:t>附：法定代表人身份证复印件（此附件为法定代表人身份证明的必要组成部分，无此附件的法定代表人身份证明无效）</w:t>
      </w:r>
    </w:p>
    <w:p>
      <w:pPr>
        <w:spacing w:line="360" w:lineRule="auto"/>
        <w:jc w:val="right"/>
        <w:rPr>
          <w:rFonts w:asciiTheme="minorEastAsia" w:hAnsiTheme="minorEastAsia"/>
          <w:color w:val="auto"/>
        </w:rPr>
      </w:pPr>
    </w:p>
    <w:p>
      <w:pPr>
        <w:tabs>
          <w:tab w:val="left" w:pos="7920"/>
        </w:tabs>
        <w:spacing w:line="360" w:lineRule="auto"/>
        <w:ind w:right="420"/>
        <w:rPr>
          <w:rFonts w:asciiTheme="minorEastAsia" w:hAnsiTheme="minorEastAsia"/>
          <w:b/>
          <w:color w:val="auto"/>
        </w:rPr>
      </w:pPr>
    </w:p>
    <w:p>
      <w:pPr>
        <w:tabs>
          <w:tab w:val="left" w:pos="7920"/>
        </w:tabs>
        <w:spacing w:line="360" w:lineRule="auto"/>
        <w:ind w:right="420"/>
        <w:rPr>
          <w:rFonts w:asciiTheme="minorEastAsia" w:hAnsiTheme="minorEastAsia"/>
          <w:b/>
          <w:color w:val="auto"/>
        </w:rPr>
      </w:pPr>
    </w:p>
    <w:p>
      <w:pPr>
        <w:tabs>
          <w:tab w:val="left" w:pos="7920"/>
        </w:tabs>
        <w:spacing w:line="360" w:lineRule="auto"/>
        <w:ind w:firstLine="570"/>
        <w:jc w:val="right"/>
        <w:rPr>
          <w:rFonts w:asciiTheme="minorEastAsia" w:hAnsiTheme="minorEastAsia"/>
          <w:color w:val="auto"/>
          <w:sz w:val="24"/>
        </w:rPr>
      </w:pPr>
    </w:p>
    <w:p>
      <w:pPr>
        <w:rPr>
          <w:rFonts w:asciiTheme="minorEastAsia" w:hAnsiTheme="minorEastAsia"/>
          <w:color w:val="auto"/>
          <w:sz w:val="24"/>
        </w:rPr>
      </w:pPr>
    </w:p>
    <w:p>
      <w:pPr>
        <w:rPr>
          <w:rFonts w:asciiTheme="minorEastAsia" w:hAnsiTheme="minorEastAsia"/>
          <w:color w:val="auto"/>
          <w:sz w:val="24"/>
        </w:rPr>
      </w:pPr>
    </w:p>
    <w:p>
      <w:pPr>
        <w:rPr>
          <w:rFonts w:asciiTheme="minorEastAsia" w:hAnsiTheme="minorEastAsia"/>
          <w:color w:val="auto"/>
          <w:sz w:val="24"/>
          <w:szCs w:val="44"/>
        </w:rPr>
      </w:pPr>
    </w:p>
    <w:p>
      <w:pPr>
        <w:rPr>
          <w:rFonts w:asciiTheme="minorEastAsia" w:hAnsiTheme="minorEastAsia"/>
          <w:color w:val="auto"/>
          <w:sz w:val="24"/>
          <w:szCs w:val="44"/>
        </w:rPr>
      </w:pPr>
    </w:p>
    <w:p>
      <w:pPr>
        <w:pStyle w:val="2"/>
        <w:numPr>
          <w:ilvl w:val="1"/>
          <w:numId w:val="0"/>
        </w:numPr>
        <w:spacing w:line="600" w:lineRule="exact"/>
        <w:jc w:val="center"/>
        <w:rPr>
          <w:rFonts w:asciiTheme="minorEastAsia" w:hAnsiTheme="minorEastAsia" w:eastAsiaTheme="minorEastAsia"/>
          <w:color w:val="auto"/>
          <w:w w:val="100"/>
          <w:kern w:val="32"/>
        </w:rPr>
      </w:pPr>
      <w:bookmarkStart w:id="114" w:name="_Toc3656_WPSOffice_Level1"/>
      <w:r>
        <w:rPr>
          <w:rFonts w:hint="eastAsia" w:asciiTheme="minorEastAsia" w:hAnsiTheme="minorEastAsia" w:eastAsiaTheme="minorEastAsia"/>
          <w:color w:val="auto"/>
          <w:w w:val="100"/>
          <w:kern w:val="32"/>
        </w:rPr>
        <w:t>授权委托书</w:t>
      </w:r>
      <w:bookmarkEnd w:id="114"/>
    </w:p>
    <w:p>
      <w:pPr>
        <w:spacing w:line="400" w:lineRule="exact"/>
        <w:ind w:left="480"/>
        <w:rPr>
          <w:rFonts w:asciiTheme="minorEastAsia" w:hAnsiTheme="minorEastAsia"/>
          <w:color w:val="auto"/>
          <w:sz w:val="24"/>
        </w:rPr>
      </w:pPr>
    </w:p>
    <w:p>
      <w:pPr>
        <w:spacing w:line="400" w:lineRule="exact"/>
        <w:ind w:left="480"/>
        <w:rPr>
          <w:rFonts w:asciiTheme="minorEastAsia" w:hAnsiTheme="minorEastAsia"/>
          <w:color w:val="auto"/>
          <w:sz w:val="24"/>
        </w:rPr>
      </w:pPr>
    </w:p>
    <w:p>
      <w:pPr>
        <w:spacing w:line="480" w:lineRule="auto"/>
        <w:ind w:firstLine="480" w:firstLineChars="200"/>
        <w:rPr>
          <w:rFonts w:asciiTheme="minorEastAsia" w:hAnsiTheme="minorEastAsia"/>
          <w:color w:val="auto"/>
          <w:sz w:val="24"/>
        </w:rPr>
      </w:pPr>
      <w:r>
        <w:rPr>
          <w:rFonts w:asciiTheme="minorEastAsia" w:hAnsiTheme="minorEastAsia"/>
          <w:color w:val="auto"/>
          <w:sz w:val="24"/>
        </w:rPr>
        <w:t>本人</w:t>
      </w:r>
      <w:r>
        <w:rPr>
          <w:rFonts w:asciiTheme="minorEastAsia" w:hAnsiTheme="minorEastAsia"/>
          <w:color w:val="auto"/>
          <w:sz w:val="24"/>
          <w:u w:val="single"/>
        </w:rPr>
        <w:t xml:space="preserve">        </w:t>
      </w:r>
      <w:r>
        <w:rPr>
          <w:rFonts w:asciiTheme="minorEastAsia" w:hAnsiTheme="minorEastAsia"/>
          <w:color w:val="auto"/>
          <w:sz w:val="24"/>
        </w:rPr>
        <w:t>（姓名）系</w:t>
      </w:r>
      <w:r>
        <w:rPr>
          <w:rFonts w:asciiTheme="minorEastAsia" w:hAnsiTheme="minorEastAsia"/>
          <w:color w:val="auto"/>
          <w:sz w:val="24"/>
          <w:u w:val="single"/>
        </w:rPr>
        <w:t xml:space="preserve">      </w:t>
      </w:r>
      <w:r>
        <w:rPr>
          <w:rFonts w:asciiTheme="minorEastAsia" w:hAnsiTheme="minorEastAsia"/>
          <w:color w:val="auto"/>
          <w:sz w:val="24"/>
        </w:rPr>
        <w:t>（投标人名称）的法定代表人，现委托</w:t>
      </w:r>
      <w:r>
        <w:rPr>
          <w:rFonts w:asciiTheme="minorEastAsia" w:hAnsiTheme="minorEastAsia"/>
          <w:color w:val="auto"/>
          <w:sz w:val="24"/>
          <w:u w:val="single"/>
        </w:rPr>
        <w:t xml:space="preserve">      （姓名</w:t>
      </w:r>
      <w:r>
        <w:rPr>
          <w:rFonts w:hint="eastAsia" w:asciiTheme="minorEastAsia" w:hAnsiTheme="minorEastAsia"/>
          <w:color w:val="auto"/>
          <w:sz w:val="24"/>
          <w:u w:val="single"/>
        </w:rPr>
        <w:t xml:space="preserve">  </w:t>
      </w:r>
      <w:r>
        <w:rPr>
          <w:rFonts w:asciiTheme="minorEastAsia" w:hAnsiTheme="minorEastAsia"/>
          <w:color w:val="auto"/>
          <w:sz w:val="24"/>
          <w:u w:val="single"/>
        </w:rPr>
        <w:t>）</w:t>
      </w:r>
      <w:r>
        <w:rPr>
          <w:rFonts w:asciiTheme="minorEastAsia" w:hAnsiTheme="minorEastAsia"/>
          <w:color w:val="auto"/>
          <w:sz w:val="24"/>
        </w:rPr>
        <w:t>为我方代理人。代理人根据授权，以我方名义签署、澄清、说明、补正、递交、撤回、修改</w:t>
      </w:r>
      <w:r>
        <w:rPr>
          <w:rFonts w:asciiTheme="minorEastAsia" w:hAnsiTheme="minorEastAsia"/>
          <w:color w:val="auto"/>
          <w:sz w:val="24"/>
          <w:u w:val="single"/>
        </w:rPr>
        <w:t xml:space="preserve">                            </w:t>
      </w:r>
      <w:r>
        <w:rPr>
          <w:rFonts w:asciiTheme="minorEastAsia" w:hAnsiTheme="minorEastAsia"/>
          <w:color w:val="auto"/>
          <w:sz w:val="24"/>
        </w:rPr>
        <w:t>投标文件、签订合同和处理有关事宜，其法律后果由我方承担。</w:t>
      </w:r>
    </w:p>
    <w:p>
      <w:pPr>
        <w:spacing w:line="480" w:lineRule="auto"/>
        <w:ind w:firstLine="480" w:firstLineChars="200"/>
        <w:rPr>
          <w:rFonts w:asciiTheme="minorEastAsia" w:hAnsiTheme="minorEastAsia"/>
          <w:color w:val="auto"/>
          <w:sz w:val="24"/>
        </w:rPr>
      </w:pPr>
      <w:r>
        <w:rPr>
          <w:rFonts w:asciiTheme="minorEastAsia" w:hAnsiTheme="minorEastAsia"/>
          <w:color w:val="auto"/>
          <w:sz w:val="24"/>
        </w:rPr>
        <w:t>委托期限：</w:t>
      </w:r>
      <w:r>
        <w:rPr>
          <w:rFonts w:asciiTheme="minorEastAsia" w:hAnsiTheme="minorEastAsia"/>
          <w:color w:val="auto"/>
          <w:sz w:val="24"/>
          <w:u w:val="single"/>
        </w:rPr>
        <w:t xml:space="preserve">               </w:t>
      </w:r>
      <w:r>
        <w:rPr>
          <w:rFonts w:asciiTheme="minorEastAsia" w:hAnsiTheme="minorEastAsia"/>
          <w:color w:val="auto"/>
          <w:sz w:val="24"/>
        </w:rPr>
        <w:t>。</w:t>
      </w:r>
    </w:p>
    <w:p>
      <w:pPr>
        <w:spacing w:line="480" w:lineRule="auto"/>
        <w:ind w:firstLine="480" w:firstLineChars="200"/>
        <w:rPr>
          <w:rFonts w:asciiTheme="minorEastAsia" w:hAnsiTheme="minorEastAsia"/>
          <w:color w:val="auto"/>
          <w:sz w:val="24"/>
        </w:rPr>
      </w:pPr>
      <w:r>
        <w:rPr>
          <w:rFonts w:asciiTheme="minorEastAsia" w:hAnsiTheme="minorEastAsia"/>
          <w:color w:val="auto"/>
          <w:sz w:val="24"/>
        </w:rPr>
        <w:t>代理人无转委托权。</w:t>
      </w:r>
    </w:p>
    <w:p>
      <w:pPr>
        <w:spacing w:line="360" w:lineRule="auto"/>
        <w:ind w:firstLine="480" w:firstLineChars="200"/>
        <w:rPr>
          <w:rFonts w:asciiTheme="minorEastAsia" w:hAnsiTheme="minorEastAsia"/>
          <w:color w:val="auto"/>
          <w:sz w:val="24"/>
        </w:rPr>
      </w:pPr>
    </w:p>
    <w:p>
      <w:pPr>
        <w:spacing w:line="360" w:lineRule="auto"/>
        <w:ind w:firstLine="480" w:firstLineChars="200"/>
        <w:rPr>
          <w:rFonts w:asciiTheme="minorEastAsia" w:hAnsiTheme="minorEastAsia"/>
          <w:color w:val="auto"/>
          <w:sz w:val="24"/>
        </w:rPr>
      </w:pPr>
    </w:p>
    <w:p>
      <w:pPr>
        <w:spacing w:line="360" w:lineRule="auto"/>
        <w:ind w:firstLine="480" w:firstLineChars="200"/>
        <w:rPr>
          <w:rFonts w:asciiTheme="minorEastAsia" w:hAnsiTheme="minorEastAsia"/>
          <w:color w:val="auto"/>
          <w:sz w:val="24"/>
        </w:rPr>
      </w:pPr>
    </w:p>
    <w:p>
      <w:pPr>
        <w:spacing w:line="360" w:lineRule="auto"/>
        <w:ind w:firstLine="480" w:firstLineChars="200"/>
        <w:rPr>
          <w:rFonts w:asciiTheme="minorEastAsia" w:hAnsiTheme="minorEastAsia"/>
          <w:color w:val="auto"/>
          <w:sz w:val="24"/>
        </w:rPr>
      </w:pPr>
    </w:p>
    <w:p>
      <w:pPr>
        <w:spacing w:line="480" w:lineRule="auto"/>
        <w:ind w:firstLine="2966" w:firstLineChars="1236"/>
        <w:rPr>
          <w:rFonts w:asciiTheme="minorEastAsia" w:hAnsiTheme="minorEastAsia"/>
          <w:color w:val="auto"/>
          <w:sz w:val="24"/>
        </w:rPr>
      </w:pPr>
      <w:r>
        <w:rPr>
          <w:rFonts w:asciiTheme="minorEastAsia" w:hAnsiTheme="minorEastAsia"/>
          <w:color w:val="auto"/>
          <w:sz w:val="24"/>
        </w:rPr>
        <w:t>投  标  人：</w:t>
      </w:r>
      <w:r>
        <w:rPr>
          <w:rFonts w:asciiTheme="minorEastAsia" w:hAnsiTheme="minorEastAsia"/>
          <w:color w:val="auto"/>
          <w:sz w:val="24"/>
          <w:u w:val="single"/>
        </w:rPr>
        <w:t xml:space="preserve">      （全称）       </w:t>
      </w:r>
      <w:r>
        <w:rPr>
          <w:rFonts w:asciiTheme="minorEastAsia" w:hAnsiTheme="minorEastAsia"/>
          <w:color w:val="auto"/>
          <w:sz w:val="24"/>
        </w:rPr>
        <w:t>（盖单位公章）</w:t>
      </w:r>
    </w:p>
    <w:p>
      <w:pPr>
        <w:spacing w:line="480" w:lineRule="auto"/>
        <w:ind w:firstLine="2966" w:firstLineChars="1236"/>
        <w:rPr>
          <w:rFonts w:asciiTheme="minorEastAsia" w:hAnsiTheme="minorEastAsia"/>
          <w:color w:val="auto"/>
          <w:sz w:val="24"/>
        </w:rPr>
      </w:pPr>
      <w:r>
        <w:rPr>
          <w:rFonts w:asciiTheme="minorEastAsia" w:hAnsiTheme="minorEastAsia"/>
          <w:color w:val="auto"/>
          <w:sz w:val="24"/>
        </w:rPr>
        <w:t>法定代表人：</w:t>
      </w:r>
      <w:r>
        <w:rPr>
          <w:rFonts w:asciiTheme="minorEastAsia" w:hAnsiTheme="minorEastAsia"/>
          <w:color w:val="auto"/>
          <w:sz w:val="24"/>
          <w:u w:val="single"/>
        </w:rPr>
        <w:t xml:space="preserve">                         </w:t>
      </w:r>
      <w:r>
        <w:rPr>
          <w:rFonts w:asciiTheme="minorEastAsia" w:hAnsiTheme="minorEastAsia"/>
          <w:color w:val="auto"/>
          <w:sz w:val="24"/>
        </w:rPr>
        <w:t>（签字）</w:t>
      </w:r>
    </w:p>
    <w:p>
      <w:pPr>
        <w:spacing w:line="480" w:lineRule="auto"/>
        <w:ind w:firstLine="2966" w:firstLineChars="1236"/>
        <w:rPr>
          <w:rFonts w:asciiTheme="minorEastAsia" w:hAnsiTheme="minorEastAsia"/>
          <w:color w:val="auto"/>
          <w:sz w:val="24"/>
        </w:rPr>
      </w:pPr>
      <w:r>
        <w:rPr>
          <w:rFonts w:asciiTheme="minorEastAsia" w:hAnsiTheme="minorEastAsia"/>
          <w:color w:val="auto"/>
          <w:sz w:val="24"/>
        </w:rPr>
        <w:t>身份证号码：</w:t>
      </w:r>
      <w:r>
        <w:rPr>
          <w:rFonts w:asciiTheme="minorEastAsia" w:hAnsiTheme="minorEastAsia"/>
          <w:color w:val="auto"/>
          <w:sz w:val="24"/>
          <w:u w:val="single"/>
        </w:rPr>
        <w:t xml:space="preserve">                                      </w:t>
      </w:r>
    </w:p>
    <w:p>
      <w:pPr>
        <w:spacing w:line="480" w:lineRule="auto"/>
        <w:ind w:firstLine="2966" w:firstLineChars="1236"/>
        <w:rPr>
          <w:rFonts w:asciiTheme="minorEastAsia" w:hAnsiTheme="minorEastAsia"/>
          <w:color w:val="auto"/>
          <w:sz w:val="24"/>
        </w:rPr>
      </w:pPr>
      <w:r>
        <w:rPr>
          <w:rFonts w:asciiTheme="minorEastAsia" w:hAnsiTheme="minorEastAsia"/>
          <w:color w:val="auto"/>
          <w:sz w:val="24"/>
        </w:rPr>
        <w:t>委托代理人：</w:t>
      </w:r>
      <w:r>
        <w:rPr>
          <w:rFonts w:asciiTheme="minorEastAsia" w:hAnsiTheme="minorEastAsia"/>
          <w:color w:val="auto"/>
          <w:sz w:val="24"/>
          <w:u w:val="single"/>
        </w:rPr>
        <w:t xml:space="preserve">                          </w:t>
      </w:r>
      <w:r>
        <w:rPr>
          <w:rFonts w:asciiTheme="minorEastAsia" w:hAnsiTheme="minorEastAsia"/>
          <w:color w:val="auto"/>
          <w:sz w:val="24"/>
        </w:rPr>
        <w:t>（签字）</w:t>
      </w:r>
    </w:p>
    <w:p>
      <w:pPr>
        <w:spacing w:line="480" w:lineRule="auto"/>
        <w:ind w:firstLine="2966" w:firstLineChars="1236"/>
        <w:rPr>
          <w:rFonts w:asciiTheme="minorEastAsia" w:hAnsiTheme="minorEastAsia"/>
          <w:color w:val="auto"/>
          <w:sz w:val="24"/>
          <w:u w:val="single"/>
        </w:rPr>
      </w:pPr>
      <w:r>
        <w:rPr>
          <w:rFonts w:asciiTheme="minorEastAsia" w:hAnsiTheme="minorEastAsia"/>
          <w:color w:val="auto"/>
          <w:sz w:val="24"/>
        </w:rPr>
        <w:t>身份证号码：</w:t>
      </w:r>
      <w:r>
        <w:rPr>
          <w:rFonts w:asciiTheme="minorEastAsia" w:hAnsiTheme="minorEastAsia"/>
          <w:color w:val="auto"/>
          <w:sz w:val="24"/>
          <w:u w:val="single"/>
        </w:rPr>
        <w:t xml:space="preserve">                                      </w:t>
      </w:r>
    </w:p>
    <w:p>
      <w:pPr>
        <w:spacing w:line="480" w:lineRule="auto"/>
        <w:ind w:firstLine="480" w:firstLineChars="200"/>
        <w:jc w:val="right"/>
        <w:rPr>
          <w:rFonts w:asciiTheme="minorEastAsia" w:hAnsiTheme="minorEastAsia"/>
          <w:color w:val="auto"/>
          <w:sz w:val="24"/>
        </w:rPr>
      </w:pPr>
      <w:r>
        <w:rPr>
          <w:rFonts w:asciiTheme="minorEastAsia" w:hAnsiTheme="minorEastAsia"/>
          <w:color w:val="auto"/>
          <w:sz w:val="24"/>
          <w:u w:val="single"/>
        </w:rPr>
        <w:t xml:space="preserve">       </w:t>
      </w:r>
      <w:r>
        <w:rPr>
          <w:rFonts w:asciiTheme="minorEastAsia" w:hAnsiTheme="minorEastAsia"/>
          <w:color w:val="auto"/>
          <w:sz w:val="24"/>
        </w:rPr>
        <w:t>年</w:t>
      </w:r>
      <w:r>
        <w:rPr>
          <w:rFonts w:asciiTheme="minorEastAsia" w:hAnsiTheme="minorEastAsia"/>
          <w:color w:val="auto"/>
          <w:sz w:val="24"/>
          <w:u w:val="single"/>
        </w:rPr>
        <w:t xml:space="preserve">    </w:t>
      </w:r>
      <w:r>
        <w:rPr>
          <w:rFonts w:asciiTheme="minorEastAsia" w:hAnsiTheme="minorEastAsia"/>
          <w:color w:val="auto"/>
          <w:sz w:val="24"/>
        </w:rPr>
        <w:t>月</w:t>
      </w:r>
      <w:r>
        <w:rPr>
          <w:rFonts w:asciiTheme="minorEastAsia" w:hAnsiTheme="minorEastAsia"/>
          <w:color w:val="auto"/>
          <w:sz w:val="24"/>
          <w:u w:val="single"/>
        </w:rPr>
        <w:t xml:space="preserve">    </w:t>
      </w:r>
      <w:r>
        <w:rPr>
          <w:rFonts w:asciiTheme="minorEastAsia" w:hAnsiTheme="minorEastAsia"/>
          <w:color w:val="auto"/>
          <w:sz w:val="24"/>
        </w:rPr>
        <w:t>日</w:t>
      </w:r>
    </w:p>
    <w:p>
      <w:pPr>
        <w:spacing w:line="440" w:lineRule="exact"/>
        <w:ind w:firstLine="241" w:firstLineChars="100"/>
        <w:rPr>
          <w:rFonts w:asciiTheme="minorEastAsia" w:hAnsiTheme="minorEastAsia"/>
          <w:b/>
          <w:color w:val="auto"/>
          <w:sz w:val="24"/>
        </w:rPr>
      </w:pPr>
    </w:p>
    <w:p>
      <w:pPr>
        <w:spacing w:line="440" w:lineRule="exact"/>
        <w:ind w:firstLine="241" w:firstLineChars="100"/>
        <w:rPr>
          <w:rFonts w:asciiTheme="minorEastAsia" w:hAnsiTheme="minorEastAsia"/>
          <w:color w:val="auto"/>
          <w:sz w:val="24"/>
        </w:rPr>
      </w:pPr>
      <w:r>
        <w:rPr>
          <w:rFonts w:hint="eastAsia" w:asciiTheme="minorEastAsia" w:hAnsiTheme="minorEastAsia"/>
          <w:b/>
          <w:color w:val="auto"/>
          <w:sz w:val="24"/>
        </w:rPr>
        <w:t>附：法定代表人及授权委托人身份证复印件（此附件为授权委托书的必要组成部分，无此附件的授权委托书无效）</w:t>
      </w:r>
    </w:p>
    <w:p>
      <w:pPr>
        <w:spacing w:line="480" w:lineRule="auto"/>
        <w:ind w:firstLine="420" w:firstLineChars="200"/>
        <w:jc w:val="right"/>
        <w:rPr>
          <w:rFonts w:asciiTheme="minorEastAsia" w:hAnsiTheme="minorEastAsia"/>
          <w:color w:val="auto"/>
        </w:rPr>
      </w:pPr>
    </w:p>
    <w:p>
      <w:pPr>
        <w:spacing w:line="360" w:lineRule="auto"/>
        <w:ind w:firstLine="420" w:firstLineChars="200"/>
        <w:rPr>
          <w:rFonts w:asciiTheme="minorEastAsia" w:hAnsiTheme="minorEastAsia"/>
          <w:color w:val="auto"/>
        </w:rPr>
      </w:pPr>
    </w:p>
    <w:p>
      <w:pPr>
        <w:spacing w:line="360" w:lineRule="auto"/>
        <w:rPr>
          <w:rFonts w:asciiTheme="minorEastAsia" w:hAnsiTheme="minorEastAsia"/>
          <w:b/>
          <w:bCs/>
          <w:color w:val="auto"/>
          <w:szCs w:val="21"/>
        </w:rPr>
      </w:pPr>
      <w:r>
        <w:rPr>
          <w:rFonts w:hint="eastAsia" w:asciiTheme="minorEastAsia" w:hAnsiTheme="minorEastAsia"/>
          <w:color w:val="auto"/>
        </w:rPr>
        <w:t xml:space="preserve"> </w:t>
      </w:r>
    </w:p>
    <w:p>
      <w:pPr>
        <w:pStyle w:val="2"/>
        <w:numPr>
          <w:ilvl w:val="1"/>
          <w:numId w:val="0"/>
        </w:numPr>
        <w:spacing w:line="600" w:lineRule="exact"/>
        <w:jc w:val="center"/>
        <w:rPr>
          <w:rFonts w:asciiTheme="minorEastAsia" w:hAnsiTheme="minorEastAsia" w:eastAsiaTheme="minorEastAsia"/>
          <w:color w:val="auto"/>
          <w:w w:val="100"/>
          <w:kern w:val="32"/>
        </w:rPr>
      </w:pPr>
      <w:bookmarkStart w:id="115" w:name="_Toc321052837"/>
      <w:r>
        <w:rPr>
          <w:rFonts w:hint="eastAsia" w:asciiTheme="minorEastAsia" w:hAnsiTheme="minorEastAsia" w:eastAsiaTheme="minorEastAsia"/>
          <w:color w:val="auto"/>
          <w:w w:val="100"/>
          <w:kern w:val="32"/>
        </w:rPr>
        <w:t>三、投标人基本情况说明</w:t>
      </w:r>
      <w:bookmarkEnd w:id="113"/>
      <w:bookmarkEnd w:id="115"/>
    </w:p>
    <w:p>
      <w:pPr>
        <w:spacing w:line="360" w:lineRule="auto"/>
        <w:rPr>
          <w:rFonts w:asciiTheme="minorEastAsia" w:hAnsiTheme="minorEastAsia"/>
          <w:color w:val="auto"/>
          <w:sz w:val="24"/>
        </w:rPr>
      </w:pPr>
      <w:r>
        <w:rPr>
          <w:rFonts w:hint="eastAsia" w:asciiTheme="minorEastAsia" w:hAnsiTheme="minorEastAsia"/>
          <w:color w:val="auto"/>
          <w:sz w:val="24"/>
        </w:rPr>
        <w:t>（一）名称及有关情况：</w:t>
      </w:r>
    </w:p>
    <w:p>
      <w:pPr>
        <w:spacing w:line="360" w:lineRule="auto"/>
        <w:ind w:firstLine="240" w:firstLineChars="100"/>
        <w:rPr>
          <w:rFonts w:asciiTheme="minorEastAsia" w:hAnsiTheme="minorEastAsia"/>
          <w:color w:val="auto"/>
          <w:sz w:val="24"/>
        </w:rPr>
      </w:pPr>
      <w:r>
        <w:rPr>
          <w:rFonts w:hint="eastAsia" w:asciiTheme="minorEastAsia" w:hAnsiTheme="minorEastAsia"/>
          <w:color w:val="auto"/>
          <w:sz w:val="24"/>
        </w:rPr>
        <w:t>（1）名称：</w:t>
      </w:r>
    </w:p>
    <w:p>
      <w:pPr>
        <w:spacing w:line="360" w:lineRule="auto"/>
        <w:ind w:firstLine="240" w:firstLineChars="100"/>
        <w:rPr>
          <w:rFonts w:asciiTheme="minorEastAsia" w:hAnsiTheme="minorEastAsia"/>
          <w:color w:val="auto"/>
          <w:sz w:val="24"/>
        </w:rPr>
      </w:pPr>
      <w:r>
        <w:rPr>
          <w:rFonts w:hint="eastAsia" w:asciiTheme="minorEastAsia" w:hAnsiTheme="minorEastAsia"/>
          <w:color w:val="auto"/>
          <w:sz w:val="24"/>
        </w:rPr>
        <w:t>（2）地址：　　　　　　　　　</w:t>
      </w:r>
    </w:p>
    <w:p>
      <w:pPr>
        <w:spacing w:line="360" w:lineRule="auto"/>
        <w:ind w:firstLine="240" w:firstLineChars="100"/>
        <w:rPr>
          <w:rFonts w:asciiTheme="minorEastAsia" w:hAnsiTheme="minorEastAsia"/>
          <w:color w:val="auto"/>
          <w:sz w:val="24"/>
        </w:rPr>
      </w:pPr>
      <w:r>
        <w:rPr>
          <w:rFonts w:hint="eastAsia" w:asciiTheme="minorEastAsia" w:hAnsiTheme="minorEastAsia"/>
          <w:color w:val="auto"/>
          <w:sz w:val="24"/>
        </w:rPr>
        <w:t>（3）成立或注册日期：</w:t>
      </w:r>
    </w:p>
    <w:p>
      <w:pPr>
        <w:spacing w:line="360" w:lineRule="auto"/>
        <w:ind w:firstLine="240" w:firstLineChars="100"/>
        <w:rPr>
          <w:rFonts w:asciiTheme="minorEastAsia" w:hAnsiTheme="minorEastAsia"/>
          <w:color w:val="auto"/>
          <w:sz w:val="24"/>
        </w:rPr>
      </w:pPr>
      <w:r>
        <w:rPr>
          <w:rFonts w:hint="eastAsia" w:asciiTheme="minorEastAsia" w:hAnsiTheme="minorEastAsia"/>
          <w:color w:val="auto"/>
          <w:sz w:val="24"/>
        </w:rPr>
        <w:t>（4）法人代表姓名：</w:t>
      </w:r>
    </w:p>
    <w:p>
      <w:pPr>
        <w:spacing w:line="360" w:lineRule="auto"/>
        <w:ind w:firstLine="240" w:firstLineChars="100"/>
        <w:rPr>
          <w:rFonts w:asciiTheme="minorEastAsia" w:hAnsiTheme="minorEastAsia"/>
          <w:color w:val="auto"/>
          <w:sz w:val="24"/>
        </w:rPr>
      </w:pPr>
      <w:r>
        <w:rPr>
          <w:rFonts w:hint="eastAsia" w:asciiTheme="minorEastAsia" w:hAnsiTheme="minorEastAsia"/>
          <w:color w:val="auto"/>
          <w:sz w:val="24"/>
        </w:rPr>
        <w:t>（5）开户银行名称及地址：</w:t>
      </w:r>
    </w:p>
    <w:p>
      <w:pPr>
        <w:spacing w:line="360" w:lineRule="auto"/>
        <w:ind w:firstLine="240" w:firstLineChars="100"/>
        <w:rPr>
          <w:rFonts w:asciiTheme="minorEastAsia" w:hAnsiTheme="minorEastAsia"/>
          <w:color w:val="auto"/>
          <w:sz w:val="24"/>
        </w:rPr>
      </w:pPr>
      <w:r>
        <w:rPr>
          <w:rFonts w:hint="eastAsia" w:asciiTheme="minorEastAsia" w:hAnsiTheme="minorEastAsia"/>
          <w:color w:val="auto"/>
          <w:sz w:val="24"/>
        </w:rPr>
        <w:t>（6）投标人在湖南地区的代表姓名和地址邮编、传真、电话</w:t>
      </w:r>
    </w:p>
    <w:p>
      <w:pPr>
        <w:spacing w:line="360" w:lineRule="auto"/>
        <w:rPr>
          <w:rFonts w:asciiTheme="minorEastAsia" w:hAnsiTheme="minorEastAsia"/>
          <w:color w:val="auto"/>
          <w:sz w:val="24"/>
        </w:rPr>
      </w:pPr>
      <w:r>
        <w:rPr>
          <w:rFonts w:hint="eastAsia" w:asciiTheme="minorEastAsia" w:hAnsiTheme="minorEastAsia"/>
          <w:color w:val="auto"/>
          <w:sz w:val="24"/>
        </w:rPr>
        <w:t>（二）投标人简介：主要包括以下内容</w:t>
      </w:r>
    </w:p>
    <w:p>
      <w:pPr>
        <w:spacing w:line="360" w:lineRule="auto"/>
        <w:ind w:firstLine="240" w:firstLineChars="100"/>
        <w:rPr>
          <w:rFonts w:asciiTheme="minorEastAsia" w:hAnsiTheme="minorEastAsia"/>
          <w:color w:val="auto"/>
          <w:sz w:val="24"/>
        </w:rPr>
      </w:pPr>
      <w:r>
        <w:rPr>
          <w:rFonts w:hint="eastAsia" w:asciiTheme="minorEastAsia" w:hAnsiTheme="minorEastAsia"/>
          <w:color w:val="auto"/>
          <w:sz w:val="24"/>
        </w:rPr>
        <w:t>（1）企业发展简史</w:t>
      </w:r>
    </w:p>
    <w:p>
      <w:pPr>
        <w:spacing w:line="360" w:lineRule="auto"/>
        <w:ind w:firstLine="240" w:firstLineChars="100"/>
        <w:rPr>
          <w:rFonts w:asciiTheme="minorEastAsia" w:hAnsiTheme="minorEastAsia"/>
          <w:color w:val="auto"/>
          <w:sz w:val="24"/>
        </w:rPr>
      </w:pPr>
      <w:r>
        <w:rPr>
          <w:rFonts w:hint="eastAsia" w:asciiTheme="minorEastAsia" w:hAnsiTheme="minorEastAsia"/>
          <w:color w:val="auto"/>
          <w:sz w:val="24"/>
        </w:rPr>
        <w:t>（2）企业生产经营场所、拥有的生产经营设备，及现有技术人员等</w:t>
      </w:r>
    </w:p>
    <w:p>
      <w:pPr>
        <w:spacing w:line="360" w:lineRule="auto"/>
        <w:ind w:firstLine="240" w:firstLineChars="100"/>
        <w:rPr>
          <w:rFonts w:asciiTheme="minorEastAsia" w:hAnsiTheme="minorEastAsia"/>
          <w:color w:val="auto"/>
          <w:sz w:val="24"/>
        </w:rPr>
      </w:pPr>
      <w:r>
        <w:rPr>
          <w:rFonts w:hint="eastAsia" w:asciiTheme="minorEastAsia" w:hAnsiTheme="minorEastAsia"/>
          <w:color w:val="auto"/>
          <w:sz w:val="24"/>
        </w:rPr>
        <w:t>（3）企业生产经营情况、财务现状等</w:t>
      </w:r>
    </w:p>
    <w:p>
      <w:pPr>
        <w:spacing w:line="360" w:lineRule="auto"/>
        <w:ind w:firstLine="240" w:firstLineChars="100"/>
        <w:rPr>
          <w:rFonts w:asciiTheme="minorEastAsia" w:hAnsiTheme="minorEastAsia"/>
          <w:color w:val="auto"/>
          <w:sz w:val="24"/>
        </w:rPr>
      </w:pPr>
      <w:r>
        <w:rPr>
          <w:rFonts w:hint="eastAsia" w:asciiTheme="minorEastAsia" w:hAnsiTheme="minorEastAsia"/>
          <w:color w:val="auto"/>
          <w:sz w:val="24"/>
        </w:rPr>
        <w:t>（4）企业获得的荣誉、受过的违规处罚情况等</w:t>
      </w:r>
    </w:p>
    <w:p>
      <w:pPr>
        <w:spacing w:line="360" w:lineRule="auto"/>
        <w:rPr>
          <w:rFonts w:asciiTheme="minorEastAsia" w:hAnsiTheme="minorEastAsia"/>
          <w:color w:val="auto"/>
          <w:sz w:val="24"/>
        </w:rPr>
      </w:pPr>
      <w:r>
        <w:rPr>
          <w:rFonts w:hint="eastAsia" w:asciiTheme="minorEastAsia" w:hAnsiTheme="minorEastAsia"/>
          <w:color w:val="auto"/>
          <w:sz w:val="24"/>
        </w:rPr>
        <w:t>（三）投标人认为需要说明的其它情况</w:t>
      </w:r>
    </w:p>
    <w:p>
      <w:pPr>
        <w:spacing w:line="400" w:lineRule="exact"/>
        <w:rPr>
          <w:rFonts w:asciiTheme="minorEastAsia" w:hAnsiTheme="minorEastAsia"/>
          <w:color w:val="auto"/>
          <w:sz w:val="24"/>
        </w:rPr>
      </w:pPr>
    </w:p>
    <w:p>
      <w:pPr>
        <w:spacing w:line="400" w:lineRule="exact"/>
        <w:rPr>
          <w:rFonts w:asciiTheme="minorEastAsia" w:hAnsiTheme="minorEastAsia"/>
          <w:color w:val="auto"/>
          <w:sz w:val="24"/>
        </w:rPr>
      </w:pPr>
    </w:p>
    <w:p>
      <w:pPr>
        <w:pStyle w:val="2"/>
        <w:numPr>
          <w:ilvl w:val="1"/>
          <w:numId w:val="0"/>
        </w:numPr>
        <w:spacing w:line="600" w:lineRule="exact"/>
        <w:jc w:val="center"/>
        <w:rPr>
          <w:rFonts w:asciiTheme="minorEastAsia" w:hAnsiTheme="minorEastAsia" w:eastAsiaTheme="minorEastAsia"/>
          <w:color w:val="auto"/>
          <w:w w:val="100"/>
          <w:kern w:val="32"/>
          <w:sz w:val="24"/>
        </w:rPr>
      </w:pPr>
      <w:r>
        <w:rPr>
          <w:rFonts w:asciiTheme="minorEastAsia" w:hAnsiTheme="minorEastAsia" w:eastAsiaTheme="minorEastAsia"/>
          <w:color w:val="auto"/>
        </w:rPr>
        <w:br w:type="page"/>
      </w:r>
      <w:bookmarkStart w:id="116" w:name="_Toc321052838"/>
      <w:bookmarkStart w:id="117" w:name="_Toc227520437"/>
      <w:r>
        <w:rPr>
          <w:rFonts w:hint="eastAsia" w:asciiTheme="minorEastAsia" w:hAnsiTheme="minorEastAsia" w:eastAsiaTheme="minorEastAsia"/>
          <w:color w:val="auto"/>
          <w:w w:val="100"/>
          <w:kern w:val="32"/>
        </w:rPr>
        <w:t>四、投标报价表</w:t>
      </w:r>
      <w:bookmarkEnd w:id="116"/>
      <w:bookmarkEnd w:id="117"/>
    </w:p>
    <w:p>
      <w:pPr>
        <w:spacing w:line="400" w:lineRule="exact"/>
        <w:ind w:right="360"/>
        <w:rPr>
          <w:rFonts w:asciiTheme="minorEastAsia" w:hAnsiTheme="minorEastAsia"/>
          <w:color w:val="auto"/>
          <w:sz w:val="24"/>
        </w:rPr>
      </w:pPr>
      <w:r>
        <w:rPr>
          <w:rFonts w:hint="eastAsia" w:asciiTheme="minorEastAsia" w:hAnsiTheme="minorEastAsia"/>
          <w:color w:val="auto"/>
          <w:sz w:val="24"/>
        </w:rPr>
        <w:t xml:space="preserve">                                                 单位：万元（人民币）</w:t>
      </w:r>
    </w:p>
    <w:tbl>
      <w:tblPr>
        <w:tblStyle w:val="16"/>
        <w:tblW w:w="92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3"/>
        <w:gridCol w:w="1753"/>
        <w:gridCol w:w="2611"/>
        <w:gridCol w:w="40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jc w:val="center"/>
        </w:trPr>
        <w:tc>
          <w:tcPr>
            <w:tcW w:w="833" w:type="dxa"/>
            <w:tcBorders>
              <w:top w:val="single" w:color="auto" w:sz="6" w:space="0"/>
              <w:left w:val="single" w:color="auto" w:sz="12" w:space="0"/>
              <w:bottom w:val="single" w:color="auto" w:sz="6" w:space="0"/>
              <w:right w:val="single" w:color="auto" w:sz="6" w:space="0"/>
            </w:tcBorders>
            <w:vAlign w:val="center"/>
          </w:tcPr>
          <w:p>
            <w:pPr>
              <w:spacing w:line="480" w:lineRule="exact"/>
              <w:jc w:val="center"/>
              <w:rPr>
                <w:rFonts w:asciiTheme="minorEastAsia" w:hAnsiTheme="minorEastAsia"/>
                <w:color w:val="auto"/>
                <w:sz w:val="24"/>
              </w:rPr>
            </w:pPr>
            <w:r>
              <w:rPr>
                <w:rFonts w:hint="eastAsia" w:asciiTheme="minorEastAsia" w:hAnsiTheme="minorEastAsia"/>
                <w:color w:val="auto"/>
                <w:sz w:val="24"/>
              </w:rPr>
              <w:t>序号</w:t>
            </w:r>
          </w:p>
        </w:tc>
        <w:tc>
          <w:tcPr>
            <w:tcW w:w="4364" w:type="dxa"/>
            <w:gridSpan w:val="2"/>
            <w:tcBorders>
              <w:top w:val="single" w:color="auto" w:sz="6" w:space="0"/>
              <w:left w:val="single" w:color="auto" w:sz="6" w:space="0"/>
              <w:bottom w:val="single" w:color="auto" w:sz="6" w:space="0"/>
              <w:right w:val="single" w:color="auto" w:sz="6" w:space="0"/>
            </w:tcBorders>
            <w:vAlign w:val="center"/>
          </w:tcPr>
          <w:p>
            <w:pPr>
              <w:spacing w:line="480" w:lineRule="exact"/>
              <w:jc w:val="center"/>
              <w:rPr>
                <w:rFonts w:asciiTheme="minorEastAsia" w:hAnsiTheme="minorEastAsia"/>
                <w:color w:val="auto"/>
                <w:sz w:val="24"/>
              </w:rPr>
            </w:pPr>
            <w:r>
              <w:rPr>
                <w:rFonts w:hint="eastAsia" w:asciiTheme="minorEastAsia" w:hAnsiTheme="minorEastAsia"/>
                <w:color w:val="auto"/>
                <w:sz w:val="24"/>
              </w:rPr>
              <w:t>项目名称</w:t>
            </w:r>
          </w:p>
        </w:tc>
        <w:tc>
          <w:tcPr>
            <w:tcW w:w="4035" w:type="dxa"/>
            <w:tcBorders>
              <w:top w:val="single" w:color="auto" w:sz="6" w:space="0"/>
              <w:left w:val="single" w:color="auto" w:sz="6" w:space="0"/>
              <w:bottom w:val="single" w:color="auto" w:sz="6" w:space="0"/>
              <w:right w:val="single" w:color="auto" w:sz="12" w:space="0"/>
            </w:tcBorders>
            <w:vAlign w:val="center"/>
          </w:tcPr>
          <w:p>
            <w:pPr>
              <w:spacing w:line="480" w:lineRule="exact"/>
              <w:jc w:val="center"/>
              <w:rPr>
                <w:rFonts w:asciiTheme="minorEastAsia" w:hAnsiTheme="minor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15" w:hRule="atLeast"/>
          <w:jc w:val="center"/>
        </w:trPr>
        <w:tc>
          <w:tcPr>
            <w:tcW w:w="833" w:type="dxa"/>
            <w:vAlign w:val="center"/>
          </w:tcPr>
          <w:p>
            <w:pPr>
              <w:spacing w:line="480" w:lineRule="exact"/>
              <w:jc w:val="center"/>
              <w:rPr>
                <w:rFonts w:asciiTheme="minorEastAsia" w:hAnsiTheme="minorEastAsia"/>
                <w:color w:val="auto"/>
                <w:sz w:val="24"/>
              </w:rPr>
            </w:pPr>
            <w:r>
              <w:rPr>
                <w:rFonts w:hint="eastAsia" w:asciiTheme="minorEastAsia" w:hAnsiTheme="minorEastAsia"/>
                <w:color w:val="auto"/>
                <w:sz w:val="24"/>
              </w:rPr>
              <w:t>1</w:t>
            </w:r>
          </w:p>
        </w:tc>
        <w:tc>
          <w:tcPr>
            <w:tcW w:w="1753" w:type="dxa"/>
            <w:vAlign w:val="center"/>
          </w:tcPr>
          <w:p>
            <w:pPr>
              <w:spacing w:line="480" w:lineRule="exact"/>
              <w:jc w:val="center"/>
              <w:rPr>
                <w:rFonts w:asciiTheme="minorEastAsia" w:hAnsiTheme="minorEastAsia"/>
                <w:color w:val="auto"/>
                <w:sz w:val="24"/>
              </w:rPr>
            </w:pPr>
            <w:r>
              <w:rPr>
                <w:rFonts w:hint="eastAsia" w:asciiTheme="minorEastAsia" w:hAnsiTheme="minorEastAsia"/>
                <w:color w:val="auto"/>
                <w:sz w:val="24"/>
              </w:rPr>
              <w:t>租金</w:t>
            </w:r>
          </w:p>
        </w:tc>
        <w:tc>
          <w:tcPr>
            <w:tcW w:w="6646" w:type="dxa"/>
            <w:gridSpan w:val="2"/>
            <w:vAlign w:val="center"/>
          </w:tcPr>
          <w:p>
            <w:pPr>
              <w:spacing w:line="480" w:lineRule="exact"/>
              <w:rPr>
                <w:rFonts w:asciiTheme="minorEastAsia" w:hAnsiTheme="minorEastAsia"/>
                <w:color w:val="auto"/>
                <w:sz w:val="24"/>
              </w:rPr>
            </w:pPr>
            <w:r>
              <w:rPr>
                <w:rFonts w:hint="eastAsia" w:asciiTheme="minorEastAsia" w:hAnsiTheme="minorEastAsia"/>
                <w:color w:val="auto"/>
                <w:sz w:val="24"/>
              </w:rPr>
              <w:t>大写：</w:t>
            </w:r>
            <w:r>
              <w:rPr>
                <w:rFonts w:hint="eastAsia" w:asciiTheme="minorEastAsia" w:hAnsiTheme="minorEastAsia"/>
                <w:color w:val="auto"/>
                <w:sz w:val="24"/>
                <w:u w:val="single"/>
              </w:rPr>
              <w:t xml:space="preserve">               </w:t>
            </w:r>
            <w:r>
              <w:rPr>
                <w:rFonts w:hint="eastAsia" w:asciiTheme="minorEastAsia" w:hAnsiTheme="minorEastAsia"/>
                <w:color w:val="auto"/>
                <w:sz w:val="24"/>
              </w:rPr>
              <w:t>万元/年</w:t>
            </w:r>
          </w:p>
          <w:p>
            <w:pPr>
              <w:spacing w:line="480" w:lineRule="exact"/>
              <w:rPr>
                <w:rFonts w:asciiTheme="minorEastAsia" w:hAnsiTheme="minorEastAsia"/>
                <w:color w:val="auto"/>
                <w:sz w:val="24"/>
              </w:rPr>
            </w:pPr>
            <w:r>
              <w:rPr>
                <w:rFonts w:hint="eastAsia" w:asciiTheme="minorEastAsia" w:hAnsiTheme="minorEastAsia"/>
                <w:color w:val="auto"/>
                <w:sz w:val="24"/>
              </w:rPr>
              <w:t>小写：</w:t>
            </w:r>
            <w:r>
              <w:rPr>
                <w:rFonts w:hint="eastAsia" w:asciiTheme="minorEastAsia" w:hAnsiTheme="minorEastAsia"/>
                <w:color w:val="auto"/>
                <w:sz w:val="24"/>
                <w:u w:val="single"/>
              </w:rPr>
              <w:t xml:space="preserve">               </w:t>
            </w:r>
            <w:r>
              <w:rPr>
                <w:rFonts w:hint="eastAsia" w:asciiTheme="minorEastAsia" w:hAnsiTheme="minorEastAsia"/>
                <w:color w:val="auto"/>
                <w:sz w:val="24"/>
              </w:rPr>
              <w:t>万元年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5" w:hRule="atLeast"/>
          <w:jc w:val="center"/>
        </w:trPr>
        <w:tc>
          <w:tcPr>
            <w:tcW w:w="833" w:type="dxa"/>
            <w:vAlign w:val="center"/>
          </w:tcPr>
          <w:p>
            <w:pPr>
              <w:spacing w:line="480" w:lineRule="exact"/>
              <w:ind w:left="1200" w:hanging="1200" w:hangingChars="500"/>
              <w:jc w:val="center"/>
              <w:rPr>
                <w:rFonts w:asciiTheme="minorEastAsia" w:hAnsiTheme="minorEastAsia"/>
                <w:color w:val="auto"/>
                <w:sz w:val="24"/>
              </w:rPr>
            </w:pPr>
            <w:r>
              <w:rPr>
                <w:rFonts w:hint="eastAsia" w:asciiTheme="minorEastAsia" w:hAnsiTheme="minorEastAsia"/>
                <w:color w:val="auto"/>
                <w:sz w:val="24"/>
              </w:rPr>
              <w:t>2</w:t>
            </w:r>
          </w:p>
        </w:tc>
        <w:tc>
          <w:tcPr>
            <w:tcW w:w="4364" w:type="dxa"/>
            <w:gridSpan w:val="2"/>
            <w:vAlign w:val="center"/>
          </w:tcPr>
          <w:p>
            <w:pPr>
              <w:spacing w:line="480" w:lineRule="exact"/>
              <w:ind w:left="1200" w:hanging="1200" w:hangingChars="500"/>
              <w:jc w:val="center"/>
              <w:rPr>
                <w:rFonts w:asciiTheme="minorEastAsia" w:hAnsiTheme="minorEastAsia"/>
                <w:color w:val="auto"/>
                <w:sz w:val="24"/>
              </w:rPr>
            </w:pPr>
            <w:r>
              <w:rPr>
                <w:rFonts w:hint="eastAsia" w:asciiTheme="minorEastAsia" w:hAnsiTheme="minorEastAsia"/>
                <w:color w:val="auto"/>
                <w:sz w:val="24"/>
              </w:rPr>
              <w:t>承包年限</w:t>
            </w:r>
          </w:p>
        </w:tc>
        <w:tc>
          <w:tcPr>
            <w:tcW w:w="4035" w:type="dxa"/>
            <w:vAlign w:val="center"/>
          </w:tcPr>
          <w:p>
            <w:pPr>
              <w:pStyle w:val="26"/>
              <w:widowControl w:val="0"/>
              <w:pBdr>
                <w:left w:val="none" w:color="auto" w:sz="0" w:space="0"/>
                <w:right w:val="none" w:color="auto" w:sz="0" w:space="0"/>
              </w:pBdr>
              <w:spacing w:before="0" w:beforeAutospacing="0" w:after="0" w:afterAutospacing="0" w:line="480" w:lineRule="exact"/>
              <w:jc w:val="both"/>
              <w:textAlignment w:val="auto"/>
              <w:rPr>
                <w:rFonts w:asciiTheme="minorEastAsia" w:hAnsiTheme="minorEastAsia"/>
                <w:color w:val="auto"/>
                <w:kern w:val="2"/>
              </w:rPr>
            </w:pPr>
            <w:r>
              <w:rPr>
                <w:rFonts w:hint="eastAsia" w:asciiTheme="minorEastAsia" w:hAnsiTheme="minorEastAsia"/>
                <w:color w:val="auto"/>
                <w:kern w:val="2"/>
                <w:lang w:val="en-US" w:eastAsia="zh-CN"/>
              </w:rPr>
              <w:t>5</w:t>
            </w:r>
            <w:r>
              <w:rPr>
                <w:rFonts w:hint="eastAsia" w:asciiTheme="minorEastAsia" w:hAnsiTheme="minorEastAsia"/>
                <w:color w:val="auto"/>
                <w:kern w:val="2"/>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jc w:val="center"/>
        </w:trPr>
        <w:tc>
          <w:tcPr>
            <w:tcW w:w="833" w:type="dxa"/>
            <w:vAlign w:val="center"/>
          </w:tcPr>
          <w:p>
            <w:pPr>
              <w:spacing w:line="480" w:lineRule="exact"/>
              <w:ind w:left="1200" w:hanging="1200" w:hangingChars="500"/>
              <w:jc w:val="center"/>
              <w:rPr>
                <w:rFonts w:asciiTheme="minorEastAsia" w:hAnsiTheme="minorEastAsia"/>
                <w:color w:val="auto"/>
                <w:sz w:val="24"/>
              </w:rPr>
            </w:pPr>
            <w:r>
              <w:rPr>
                <w:rFonts w:hint="eastAsia" w:asciiTheme="minorEastAsia" w:hAnsiTheme="minorEastAsia"/>
                <w:color w:val="auto"/>
                <w:sz w:val="24"/>
              </w:rPr>
              <w:t>3</w:t>
            </w:r>
          </w:p>
        </w:tc>
        <w:tc>
          <w:tcPr>
            <w:tcW w:w="4364" w:type="dxa"/>
            <w:gridSpan w:val="2"/>
            <w:vAlign w:val="center"/>
          </w:tcPr>
          <w:p>
            <w:pPr>
              <w:spacing w:line="480" w:lineRule="exact"/>
              <w:ind w:left="1200" w:hanging="1200" w:hangingChars="500"/>
              <w:jc w:val="center"/>
              <w:rPr>
                <w:rFonts w:asciiTheme="minorEastAsia" w:hAnsiTheme="minorEastAsia"/>
                <w:color w:val="auto"/>
                <w:sz w:val="24"/>
              </w:rPr>
            </w:pPr>
            <w:r>
              <w:rPr>
                <w:rFonts w:hint="eastAsia" w:asciiTheme="minorEastAsia" w:hAnsiTheme="minorEastAsia"/>
                <w:color w:val="auto"/>
                <w:sz w:val="24"/>
              </w:rPr>
              <w:t>服务承诺</w:t>
            </w:r>
          </w:p>
        </w:tc>
        <w:tc>
          <w:tcPr>
            <w:tcW w:w="4035" w:type="dxa"/>
            <w:vAlign w:val="center"/>
          </w:tcPr>
          <w:p>
            <w:pPr>
              <w:pStyle w:val="26"/>
              <w:widowControl w:val="0"/>
              <w:pBdr>
                <w:left w:val="none" w:color="auto" w:sz="0" w:space="0"/>
                <w:right w:val="none" w:color="auto" w:sz="0" w:space="0"/>
              </w:pBdr>
              <w:spacing w:before="0" w:beforeAutospacing="0" w:after="0" w:afterAutospacing="0" w:line="480" w:lineRule="exact"/>
              <w:jc w:val="both"/>
              <w:textAlignment w:val="auto"/>
              <w:rPr>
                <w:rFonts w:asciiTheme="minorEastAsia" w:hAnsiTheme="minorEastAsia"/>
                <w:color w:val="auto"/>
                <w:kern w:val="2"/>
              </w:rPr>
            </w:pPr>
            <w:r>
              <w:rPr>
                <w:rFonts w:hint="eastAsia" w:asciiTheme="minorEastAsia" w:hAnsiTheme="minorEastAsia"/>
                <w:color w:val="auto"/>
                <w:kern w:val="2"/>
              </w:rPr>
              <w:t>达到招标人的服务标准要求。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jc w:val="center"/>
        </w:trPr>
        <w:tc>
          <w:tcPr>
            <w:tcW w:w="833" w:type="dxa"/>
            <w:vAlign w:val="center"/>
          </w:tcPr>
          <w:p>
            <w:pPr>
              <w:spacing w:line="480" w:lineRule="exact"/>
              <w:ind w:left="1200" w:hanging="1200" w:hangingChars="500"/>
              <w:jc w:val="center"/>
              <w:rPr>
                <w:rFonts w:asciiTheme="minorEastAsia" w:hAnsiTheme="minorEastAsia"/>
                <w:color w:val="auto"/>
                <w:sz w:val="24"/>
              </w:rPr>
            </w:pPr>
            <w:r>
              <w:rPr>
                <w:rFonts w:hint="eastAsia" w:asciiTheme="minorEastAsia" w:hAnsiTheme="minorEastAsia"/>
                <w:color w:val="auto"/>
                <w:sz w:val="24"/>
              </w:rPr>
              <w:t>4</w:t>
            </w:r>
          </w:p>
        </w:tc>
        <w:tc>
          <w:tcPr>
            <w:tcW w:w="4364" w:type="dxa"/>
            <w:gridSpan w:val="2"/>
            <w:vAlign w:val="center"/>
          </w:tcPr>
          <w:p>
            <w:pPr>
              <w:spacing w:line="480" w:lineRule="exact"/>
              <w:ind w:left="1200" w:hanging="1200" w:hangingChars="500"/>
              <w:jc w:val="center"/>
              <w:rPr>
                <w:rFonts w:asciiTheme="minorEastAsia" w:hAnsiTheme="minorEastAsia"/>
                <w:color w:val="auto"/>
                <w:sz w:val="24"/>
              </w:rPr>
            </w:pPr>
            <w:r>
              <w:rPr>
                <w:rFonts w:hint="eastAsia" w:asciiTheme="minorEastAsia" w:hAnsiTheme="minorEastAsia"/>
                <w:color w:val="auto"/>
                <w:sz w:val="24"/>
              </w:rPr>
              <w:t>合同条款</w:t>
            </w:r>
          </w:p>
        </w:tc>
        <w:tc>
          <w:tcPr>
            <w:tcW w:w="4035" w:type="dxa"/>
            <w:vAlign w:val="center"/>
          </w:tcPr>
          <w:p>
            <w:pPr>
              <w:pStyle w:val="26"/>
              <w:widowControl w:val="0"/>
              <w:pBdr>
                <w:left w:val="none" w:color="auto" w:sz="0" w:space="0"/>
                <w:right w:val="none" w:color="auto" w:sz="0" w:space="0"/>
              </w:pBdr>
              <w:spacing w:before="0" w:beforeAutospacing="0" w:after="0" w:afterAutospacing="0" w:line="480" w:lineRule="exact"/>
              <w:jc w:val="both"/>
              <w:textAlignment w:val="auto"/>
              <w:rPr>
                <w:rFonts w:asciiTheme="minorEastAsia" w:hAnsiTheme="minorEastAsia"/>
                <w:color w:val="auto"/>
                <w:kern w:val="2"/>
              </w:rPr>
            </w:pPr>
            <w:r>
              <w:rPr>
                <w:rFonts w:hint="eastAsia" w:asciiTheme="minorEastAsia" w:hAnsiTheme="minorEastAsia"/>
                <w:color w:val="auto"/>
                <w:kern w:val="2"/>
              </w:rPr>
              <w:t>同意并接受招标文件的全部内容。</w:t>
            </w:r>
          </w:p>
        </w:tc>
      </w:tr>
    </w:tbl>
    <w:p>
      <w:pPr>
        <w:pStyle w:val="7"/>
        <w:spacing w:line="400" w:lineRule="exact"/>
        <w:ind w:left="0" w:leftChars="0"/>
        <w:rPr>
          <w:rFonts w:asciiTheme="minorEastAsia" w:hAnsiTheme="minorEastAsia"/>
          <w:b/>
          <w:color w:val="auto"/>
          <w:sz w:val="24"/>
        </w:rPr>
      </w:pPr>
    </w:p>
    <w:p>
      <w:pPr>
        <w:rPr>
          <w:rFonts w:asciiTheme="minorEastAsia" w:hAnsiTheme="minorEastAsia"/>
          <w:color w:val="auto"/>
        </w:rPr>
      </w:pPr>
    </w:p>
    <w:p>
      <w:pPr>
        <w:spacing w:line="360" w:lineRule="auto"/>
        <w:ind w:firstLine="495"/>
        <w:jc w:val="right"/>
        <w:rPr>
          <w:rFonts w:asciiTheme="minorEastAsia" w:hAnsiTheme="minorEastAsia"/>
          <w:color w:val="auto"/>
          <w:sz w:val="24"/>
        </w:rPr>
      </w:pPr>
      <w:r>
        <w:rPr>
          <w:rFonts w:hint="eastAsia" w:asciiTheme="minorEastAsia" w:hAnsiTheme="minorEastAsia"/>
          <w:color w:val="auto"/>
          <w:sz w:val="24"/>
        </w:rPr>
        <w:t>投 标 人：</w:t>
      </w:r>
      <w:r>
        <w:rPr>
          <w:rFonts w:hint="eastAsia" w:asciiTheme="minorEastAsia" w:hAnsiTheme="minorEastAsia"/>
          <w:color w:val="auto"/>
          <w:sz w:val="24"/>
          <w:u w:val="single"/>
        </w:rPr>
        <w:t xml:space="preserve">               （全称）                </w:t>
      </w:r>
      <w:r>
        <w:rPr>
          <w:rFonts w:hint="eastAsia" w:asciiTheme="minorEastAsia" w:hAnsiTheme="minorEastAsia"/>
          <w:color w:val="auto"/>
          <w:sz w:val="24"/>
        </w:rPr>
        <w:t>（盖单位公章）</w:t>
      </w:r>
    </w:p>
    <w:p>
      <w:pPr>
        <w:spacing w:line="360" w:lineRule="auto"/>
        <w:ind w:firstLine="495"/>
        <w:jc w:val="right"/>
        <w:rPr>
          <w:rFonts w:asciiTheme="minorEastAsia" w:hAnsiTheme="minorEastAsia"/>
          <w:color w:val="auto"/>
          <w:sz w:val="24"/>
        </w:rPr>
      </w:pPr>
      <w:r>
        <w:rPr>
          <w:rFonts w:hint="eastAsia" w:asciiTheme="minorEastAsia" w:hAnsiTheme="minorEastAsia"/>
          <w:color w:val="auto"/>
          <w:sz w:val="24"/>
        </w:rPr>
        <w:t>法定代表人或其委托代理人：</w:t>
      </w:r>
      <w:r>
        <w:rPr>
          <w:rFonts w:hint="eastAsia" w:asciiTheme="minorEastAsia" w:hAnsiTheme="minorEastAsia"/>
          <w:color w:val="auto"/>
          <w:sz w:val="24"/>
          <w:u w:val="single"/>
        </w:rPr>
        <w:t xml:space="preserve">                </w:t>
      </w:r>
      <w:r>
        <w:rPr>
          <w:rFonts w:hint="eastAsia" w:asciiTheme="minorEastAsia" w:hAnsiTheme="minorEastAsia"/>
          <w:color w:val="auto"/>
          <w:sz w:val="24"/>
        </w:rPr>
        <w:t>（签字或盖章）</w:t>
      </w:r>
    </w:p>
    <w:p>
      <w:pPr>
        <w:spacing w:line="400" w:lineRule="exact"/>
        <w:jc w:val="right"/>
        <w:rPr>
          <w:rFonts w:asciiTheme="minorEastAsia" w:hAnsiTheme="minorEastAsia"/>
          <w:color w:val="auto"/>
          <w:sz w:val="24"/>
        </w:rPr>
      </w:pPr>
      <w:r>
        <w:rPr>
          <w:rFonts w:hint="eastAsia" w:asciiTheme="minorEastAsia" w:hAnsiTheme="minorEastAsia"/>
          <w:color w:val="auto"/>
          <w:sz w:val="24"/>
        </w:rPr>
        <w:t xml:space="preserve">                                 年   月   日</w:t>
      </w:r>
    </w:p>
    <w:p>
      <w:pPr>
        <w:pStyle w:val="2"/>
        <w:numPr>
          <w:ilvl w:val="1"/>
          <w:numId w:val="0"/>
        </w:numPr>
        <w:spacing w:line="600" w:lineRule="exact"/>
        <w:jc w:val="center"/>
        <w:rPr>
          <w:rFonts w:asciiTheme="minorEastAsia" w:hAnsiTheme="minorEastAsia" w:eastAsiaTheme="minorEastAsia"/>
          <w:color w:val="auto"/>
          <w:w w:val="100"/>
          <w:kern w:val="32"/>
        </w:rPr>
      </w:pPr>
      <w:r>
        <w:rPr>
          <w:rFonts w:asciiTheme="minorEastAsia" w:hAnsiTheme="minorEastAsia" w:eastAsiaTheme="minorEastAsia"/>
          <w:bCs w:val="0"/>
          <w:color w:val="auto"/>
          <w:sz w:val="24"/>
        </w:rPr>
        <w:br w:type="page"/>
      </w:r>
      <w:bookmarkStart w:id="118" w:name="_Toc321052845"/>
      <w:bookmarkStart w:id="119" w:name="_Toc321052839"/>
      <w:bookmarkStart w:id="120" w:name="_Toc228255662"/>
      <w:r>
        <w:rPr>
          <w:rFonts w:hint="eastAsia" w:asciiTheme="minorEastAsia" w:hAnsiTheme="minorEastAsia" w:eastAsiaTheme="minorEastAsia"/>
          <w:color w:val="auto"/>
          <w:w w:val="100"/>
          <w:kern w:val="32"/>
        </w:rPr>
        <w:t>五、投标承诺书</w:t>
      </w:r>
      <w:bookmarkEnd w:id="118"/>
    </w:p>
    <w:p>
      <w:pPr>
        <w:rPr>
          <w:rFonts w:asciiTheme="minorEastAsia" w:hAnsiTheme="minorEastAsia"/>
          <w:color w:val="auto"/>
        </w:rPr>
      </w:pPr>
    </w:p>
    <w:p>
      <w:pPr>
        <w:spacing w:line="360" w:lineRule="auto"/>
        <w:jc w:val="left"/>
        <w:rPr>
          <w:rFonts w:cs="Arial" w:asciiTheme="minorEastAsia" w:hAnsiTheme="minorEastAsia"/>
          <w:color w:val="auto"/>
          <w:sz w:val="24"/>
          <w:lang w:val="sq-AL"/>
        </w:rPr>
      </w:pPr>
      <w:r>
        <w:rPr>
          <w:rFonts w:cs="Arial" w:asciiTheme="minorEastAsia" w:hAnsiTheme="minorEastAsia"/>
          <w:color w:val="auto"/>
          <w:sz w:val="24"/>
          <w:lang w:val="sq-AL"/>
        </w:rPr>
        <w:t>（招标人）——————————————：</w:t>
      </w:r>
    </w:p>
    <w:p>
      <w:pPr>
        <w:spacing w:line="360" w:lineRule="auto"/>
        <w:ind w:firstLine="480" w:firstLineChars="200"/>
        <w:jc w:val="left"/>
        <w:rPr>
          <w:rFonts w:cs="Arial" w:asciiTheme="minorEastAsia" w:hAnsiTheme="minorEastAsia"/>
          <w:color w:val="auto"/>
          <w:sz w:val="24"/>
          <w:lang w:val="sq-AL"/>
        </w:rPr>
      </w:pPr>
      <w:r>
        <w:rPr>
          <w:rFonts w:cs="Arial" w:asciiTheme="minorEastAsia" w:hAnsiTheme="minorEastAsia"/>
          <w:color w:val="auto"/>
          <w:sz w:val="24"/>
          <w:lang w:val="sq-AL"/>
        </w:rPr>
        <w:t>为了充分体现公平竞争、诚信投标行为，我单位对参与</w:t>
      </w:r>
      <w:r>
        <w:rPr>
          <w:rFonts w:hint="eastAsia" w:cs="Arial" w:asciiTheme="minorEastAsia" w:hAnsiTheme="minorEastAsia"/>
          <w:color w:val="auto"/>
          <w:sz w:val="24"/>
          <w:u w:val="single"/>
          <w:lang w:val="sq-AL"/>
        </w:rPr>
        <w:t xml:space="preserve">                      </w:t>
      </w:r>
      <w:r>
        <w:rPr>
          <w:rFonts w:cs="Arial" w:asciiTheme="minorEastAsia" w:hAnsiTheme="minorEastAsia"/>
          <w:color w:val="auto"/>
          <w:sz w:val="24"/>
          <w:lang w:val="sq-AL"/>
        </w:rPr>
        <w:t>项目的投标作出如下承诺：</w:t>
      </w:r>
    </w:p>
    <w:p>
      <w:pPr>
        <w:spacing w:line="360" w:lineRule="auto"/>
        <w:ind w:firstLine="360" w:firstLineChars="150"/>
        <w:jc w:val="left"/>
        <w:rPr>
          <w:rFonts w:cs="Arial" w:asciiTheme="minorEastAsia" w:hAnsiTheme="minorEastAsia"/>
          <w:color w:val="auto"/>
          <w:sz w:val="24"/>
          <w:lang w:val="sq-AL"/>
        </w:rPr>
      </w:pPr>
      <w:r>
        <w:rPr>
          <w:rFonts w:cs="Arial" w:asciiTheme="minorEastAsia" w:hAnsiTheme="minorEastAsia"/>
          <w:color w:val="auto"/>
          <w:sz w:val="24"/>
          <w:lang w:val="sq-AL"/>
        </w:rPr>
        <w:t>1、严格遵守国家【招标投标法】及相关法律、法规，没有围标、串标、资质挂靠等违法、违规行为，投标文件所投入的管理、技术人员均为我公司正式在职人员；</w:t>
      </w:r>
    </w:p>
    <w:p>
      <w:pPr>
        <w:spacing w:line="360" w:lineRule="auto"/>
        <w:ind w:firstLine="360" w:firstLineChars="150"/>
        <w:jc w:val="left"/>
        <w:rPr>
          <w:rFonts w:cs="Arial" w:asciiTheme="minorEastAsia" w:hAnsiTheme="minorEastAsia"/>
          <w:color w:val="auto"/>
          <w:sz w:val="24"/>
          <w:lang w:val="sq-AL"/>
        </w:rPr>
      </w:pPr>
      <w:r>
        <w:rPr>
          <w:rFonts w:cs="Arial" w:asciiTheme="minorEastAsia" w:hAnsiTheme="minorEastAsia"/>
          <w:color w:val="auto"/>
          <w:sz w:val="24"/>
          <w:lang w:val="sq-AL"/>
        </w:rPr>
        <w:t>2、提供的资质、业绩等证明材料真实、合法、有效；</w:t>
      </w:r>
    </w:p>
    <w:p>
      <w:pPr>
        <w:spacing w:line="360" w:lineRule="auto"/>
        <w:ind w:firstLine="360" w:firstLineChars="150"/>
        <w:jc w:val="left"/>
        <w:rPr>
          <w:rFonts w:cs="Arial" w:asciiTheme="minorEastAsia" w:hAnsiTheme="minorEastAsia"/>
          <w:color w:val="auto"/>
          <w:sz w:val="24"/>
          <w:lang w:val="sq-AL"/>
        </w:rPr>
      </w:pPr>
      <w:r>
        <w:rPr>
          <w:rFonts w:cs="Arial" w:asciiTheme="minorEastAsia" w:hAnsiTheme="minorEastAsia"/>
          <w:color w:val="auto"/>
          <w:sz w:val="24"/>
          <w:lang w:val="sq-AL"/>
        </w:rPr>
        <w:t>3、不参与不正当竞争，不向招标人、评标</w:t>
      </w:r>
      <w:r>
        <w:rPr>
          <w:rFonts w:hint="eastAsia" w:cs="Arial" w:asciiTheme="minorEastAsia" w:hAnsiTheme="minorEastAsia"/>
          <w:color w:val="auto"/>
          <w:sz w:val="24"/>
          <w:lang w:val="sq-AL"/>
        </w:rPr>
        <w:t>小组</w:t>
      </w:r>
      <w:r>
        <w:rPr>
          <w:rFonts w:cs="Arial" w:asciiTheme="minorEastAsia" w:hAnsiTheme="minorEastAsia"/>
          <w:color w:val="auto"/>
          <w:sz w:val="24"/>
          <w:lang w:val="sq-AL"/>
        </w:rPr>
        <w:t>以及行业监督部门行贿以谋取不正当利益；</w:t>
      </w:r>
    </w:p>
    <w:p>
      <w:pPr>
        <w:spacing w:line="360" w:lineRule="auto"/>
        <w:ind w:firstLine="360" w:firstLineChars="150"/>
        <w:jc w:val="left"/>
        <w:rPr>
          <w:rFonts w:cs="Arial" w:asciiTheme="minorEastAsia" w:hAnsiTheme="minorEastAsia"/>
          <w:color w:val="auto"/>
          <w:sz w:val="24"/>
          <w:lang w:val="sq-AL"/>
        </w:rPr>
      </w:pPr>
      <w:r>
        <w:rPr>
          <w:rFonts w:cs="Arial" w:asciiTheme="minorEastAsia" w:hAnsiTheme="minorEastAsia"/>
          <w:color w:val="auto"/>
          <w:sz w:val="24"/>
          <w:lang w:val="sq-AL"/>
        </w:rPr>
        <w:t>4、严格按照招、投标文件约定签订合同；</w:t>
      </w:r>
    </w:p>
    <w:p>
      <w:pPr>
        <w:spacing w:line="360" w:lineRule="auto"/>
        <w:ind w:firstLine="360" w:firstLineChars="150"/>
        <w:jc w:val="left"/>
        <w:rPr>
          <w:rFonts w:cs="Arial" w:asciiTheme="minorEastAsia" w:hAnsiTheme="minorEastAsia"/>
          <w:color w:val="auto"/>
          <w:sz w:val="24"/>
          <w:lang w:val="sq-AL"/>
        </w:rPr>
      </w:pPr>
      <w:r>
        <w:rPr>
          <w:rFonts w:cs="Arial" w:asciiTheme="minorEastAsia" w:hAnsiTheme="minorEastAsia"/>
          <w:color w:val="auto"/>
          <w:sz w:val="24"/>
          <w:lang w:val="sq-AL"/>
        </w:rPr>
        <w:t>5、主动接受行业监督部门、社会各界的监督，如有违反，接受相应处罚，直至被追究法律责任</w:t>
      </w:r>
      <w:r>
        <w:rPr>
          <w:rFonts w:hint="eastAsia" w:cs="Arial" w:asciiTheme="minorEastAsia" w:hAnsiTheme="minorEastAsia"/>
          <w:color w:val="auto"/>
          <w:sz w:val="24"/>
          <w:lang w:val="sq-AL"/>
        </w:rPr>
        <w:t>；</w:t>
      </w:r>
    </w:p>
    <w:p>
      <w:pPr>
        <w:spacing w:line="360" w:lineRule="auto"/>
        <w:ind w:firstLine="360" w:firstLineChars="150"/>
        <w:jc w:val="left"/>
        <w:rPr>
          <w:rFonts w:cs="Arial" w:asciiTheme="minorEastAsia" w:hAnsiTheme="minorEastAsia"/>
          <w:color w:val="auto"/>
          <w:sz w:val="24"/>
          <w:lang w:val="sq-AL"/>
        </w:rPr>
      </w:pPr>
      <w:r>
        <w:rPr>
          <w:rFonts w:hint="eastAsia" w:cs="Arial" w:asciiTheme="minorEastAsia" w:hAnsiTheme="minorEastAsia"/>
          <w:color w:val="auto"/>
          <w:sz w:val="24"/>
          <w:lang w:val="sq-AL"/>
        </w:rPr>
        <w:t>6、对项目情况及建筑物权属性质已知晓，中标后不得要求招标人或合同签订甲方配合办理任何与其经营相关的经营手续及证照；</w:t>
      </w:r>
    </w:p>
    <w:p>
      <w:pPr>
        <w:spacing w:line="360" w:lineRule="auto"/>
        <w:ind w:firstLine="360" w:firstLineChars="150"/>
        <w:jc w:val="left"/>
        <w:rPr>
          <w:rFonts w:cs="Arial" w:asciiTheme="minorEastAsia" w:hAnsiTheme="minorEastAsia"/>
          <w:color w:val="auto"/>
          <w:sz w:val="24"/>
          <w:lang w:val="sq-AL"/>
        </w:rPr>
      </w:pPr>
      <w:r>
        <w:rPr>
          <w:rFonts w:hint="eastAsia" w:cs="Arial" w:asciiTheme="minorEastAsia" w:hAnsiTheme="minorEastAsia"/>
          <w:color w:val="auto"/>
          <w:sz w:val="24"/>
          <w:lang w:val="sq-AL"/>
        </w:rPr>
        <w:t>7、按照投标文件中维护方案对经营范围内实施维护及修缮。</w:t>
      </w:r>
    </w:p>
    <w:p>
      <w:pPr>
        <w:spacing w:line="520" w:lineRule="exact"/>
        <w:ind w:firstLine="560"/>
        <w:rPr>
          <w:rFonts w:ascii="仿宋_GB2312" w:eastAsia="仿宋_GB2312"/>
          <w:color w:val="auto"/>
          <w:sz w:val="28"/>
          <w:szCs w:val="28"/>
        </w:rPr>
      </w:pPr>
    </w:p>
    <w:p>
      <w:pPr>
        <w:spacing w:line="360" w:lineRule="auto"/>
        <w:ind w:firstLine="361" w:firstLineChars="150"/>
        <w:jc w:val="left"/>
        <w:rPr>
          <w:rFonts w:cs="Arial" w:asciiTheme="minorEastAsia" w:hAnsiTheme="minorEastAsia"/>
          <w:b/>
          <w:bCs/>
          <w:color w:val="auto"/>
          <w:sz w:val="24"/>
        </w:rPr>
      </w:pPr>
    </w:p>
    <w:p>
      <w:pPr>
        <w:spacing w:line="360" w:lineRule="auto"/>
        <w:jc w:val="left"/>
        <w:rPr>
          <w:rFonts w:cs="Arial" w:asciiTheme="minorEastAsia" w:hAnsiTheme="minorEastAsia"/>
          <w:color w:val="auto"/>
          <w:sz w:val="24"/>
          <w:lang w:val="sq-AL"/>
        </w:rPr>
      </w:pPr>
    </w:p>
    <w:p>
      <w:pPr>
        <w:spacing w:line="360" w:lineRule="auto"/>
        <w:jc w:val="left"/>
        <w:rPr>
          <w:rFonts w:cs="Arial" w:asciiTheme="minorEastAsia" w:hAnsiTheme="minorEastAsia"/>
          <w:color w:val="auto"/>
          <w:sz w:val="24"/>
          <w:lang w:val="sq-AL"/>
        </w:rPr>
      </w:pPr>
    </w:p>
    <w:p>
      <w:pPr>
        <w:spacing w:line="360" w:lineRule="auto"/>
        <w:ind w:firstLine="360" w:firstLineChars="150"/>
        <w:jc w:val="left"/>
        <w:rPr>
          <w:rFonts w:cs="Arial" w:asciiTheme="minorEastAsia" w:hAnsiTheme="minorEastAsia"/>
          <w:color w:val="auto"/>
          <w:sz w:val="24"/>
          <w:lang w:val="sq-AL"/>
        </w:rPr>
      </w:pPr>
      <w:r>
        <w:rPr>
          <w:rFonts w:cs="Arial" w:asciiTheme="minorEastAsia" w:hAnsiTheme="minorEastAsia"/>
          <w:color w:val="auto"/>
          <w:sz w:val="24"/>
          <w:lang w:val="sq-AL"/>
        </w:rPr>
        <w:t>承诺单位（盖章）       法定代表人（亲笔签字）</w:t>
      </w:r>
    </w:p>
    <w:p>
      <w:pPr>
        <w:spacing w:line="360" w:lineRule="auto"/>
        <w:ind w:firstLine="360" w:firstLineChars="150"/>
        <w:jc w:val="left"/>
        <w:rPr>
          <w:rFonts w:cs="Arial" w:asciiTheme="minorEastAsia" w:hAnsiTheme="minorEastAsia"/>
          <w:color w:val="auto"/>
          <w:sz w:val="24"/>
          <w:lang w:val="sq-AL"/>
        </w:rPr>
      </w:pPr>
      <w:r>
        <w:rPr>
          <w:rFonts w:cs="Arial" w:asciiTheme="minorEastAsia" w:hAnsiTheme="minorEastAsia"/>
          <w:color w:val="auto"/>
          <w:sz w:val="24"/>
          <w:lang w:val="sq-AL"/>
        </w:rPr>
        <w:t xml:space="preserve">联系电话（手机号码）：                              </w:t>
      </w:r>
    </w:p>
    <w:p>
      <w:pPr>
        <w:spacing w:line="360" w:lineRule="auto"/>
        <w:ind w:firstLine="600" w:firstLineChars="250"/>
        <w:jc w:val="left"/>
        <w:rPr>
          <w:rFonts w:cs="Arial" w:asciiTheme="minorEastAsia" w:hAnsiTheme="minorEastAsia"/>
          <w:color w:val="auto"/>
          <w:sz w:val="24"/>
          <w:lang w:val="sq-AL"/>
        </w:rPr>
      </w:pPr>
      <w:r>
        <w:rPr>
          <w:rFonts w:cs="Arial" w:asciiTheme="minorEastAsia" w:hAnsiTheme="minorEastAsia"/>
          <w:color w:val="auto"/>
          <w:sz w:val="24"/>
          <w:lang w:val="sq-AL"/>
        </w:rPr>
        <w:t>年   月   日</w:t>
      </w:r>
    </w:p>
    <w:p>
      <w:pPr>
        <w:spacing w:line="360" w:lineRule="auto"/>
        <w:jc w:val="left"/>
        <w:rPr>
          <w:rFonts w:cs="Arial" w:asciiTheme="minorEastAsia" w:hAnsiTheme="minorEastAsia"/>
          <w:b/>
          <w:color w:val="auto"/>
          <w:sz w:val="24"/>
          <w:lang w:val="sq-AL"/>
        </w:rPr>
      </w:pPr>
    </w:p>
    <w:p>
      <w:pPr>
        <w:spacing w:line="360" w:lineRule="auto"/>
        <w:jc w:val="left"/>
        <w:rPr>
          <w:rFonts w:cs="Arial" w:asciiTheme="minorEastAsia" w:hAnsiTheme="minorEastAsia"/>
          <w:b/>
          <w:color w:val="auto"/>
          <w:sz w:val="24"/>
          <w:lang w:val="sq-AL"/>
        </w:rPr>
      </w:pPr>
      <w:r>
        <w:rPr>
          <w:rFonts w:hint="eastAsia" w:cs="Arial" w:asciiTheme="minorEastAsia" w:hAnsiTheme="minorEastAsia"/>
          <w:b/>
          <w:color w:val="auto"/>
          <w:sz w:val="24"/>
          <w:lang w:val="sq-AL"/>
        </w:rPr>
        <w:t>（开标时，由投标人的法定代表人（或授权委托代理人）单独携带一份原件现场递交招标人查验）</w:t>
      </w:r>
    </w:p>
    <w:p>
      <w:pPr>
        <w:rPr>
          <w:rFonts w:asciiTheme="minorEastAsia" w:hAnsiTheme="minorEastAsia"/>
          <w:color w:val="auto"/>
        </w:rPr>
      </w:pPr>
    </w:p>
    <w:p>
      <w:pPr>
        <w:rPr>
          <w:rFonts w:asciiTheme="minorEastAsia" w:hAnsiTheme="minorEastAsia"/>
          <w:color w:val="auto"/>
          <w:lang w:val="sq-AL"/>
        </w:rPr>
      </w:pPr>
    </w:p>
    <w:p>
      <w:pPr>
        <w:pStyle w:val="2"/>
        <w:numPr>
          <w:ilvl w:val="1"/>
          <w:numId w:val="0"/>
        </w:numPr>
        <w:spacing w:line="600" w:lineRule="exact"/>
        <w:jc w:val="center"/>
        <w:rPr>
          <w:rFonts w:asciiTheme="minorEastAsia" w:hAnsiTheme="minorEastAsia" w:eastAsiaTheme="minorEastAsia"/>
          <w:bCs w:val="0"/>
          <w:color w:val="auto"/>
          <w:kern w:val="32"/>
          <w:sz w:val="24"/>
        </w:rPr>
      </w:pPr>
      <w:r>
        <w:rPr>
          <w:rFonts w:asciiTheme="minorEastAsia" w:hAnsiTheme="minorEastAsia" w:eastAsiaTheme="minorEastAsia"/>
          <w:color w:val="auto"/>
          <w:w w:val="100"/>
          <w:kern w:val="32"/>
        </w:rPr>
        <w:br w:type="page"/>
      </w:r>
      <w:r>
        <w:rPr>
          <w:rFonts w:hint="eastAsia" w:asciiTheme="minorEastAsia" w:hAnsiTheme="minorEastAsia" w:eastAsiaTheme="minorEastAsia"/>
          <w:color w:val="auto"/>
          <w:w w:val="100"/>
          <w:kern w:val="32"/>
        </w:rPr>
        <w:t>六、拟投入本项目的人员情况表</w:t>
      </w:r>
      <w:bookmarkEnd w:id="119"/>
    </w:p>
    <w:tbl>
      <w:tblPr>
        <w:tblStyle w:val="16"/>
        <w:tblW w:w="94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1"/>
        <w:gridCol w:w="2054"/>
        <w:gridCol w:w="1259"/>
        <w:gridCol w:w="1204"/>
        <w:gridCol w:w="961"/>
        <w:gridCol w:w="961"/>
        <w:gridCol w:w="959"/>
        <w:gridCol w:w="11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931" w:type="dxa"/>
            <w:vMerge w:val="restart"/>
            <w:vAlign w:val="center"/>
          </w:tcPr>
          <w:p>
            <w:pPr>
              <w:jc w:val="center"/>
              <w:rPr>
                <w:rFonts w:asciiTheme="minorEastAsia" w:hAnsiTheme="minorEastAsia"/>
                <w:color w:val="auto"/>
                <w:kern w:val="0"/>
                <w:sz w:val="24"/>
              </w:rPr>
            </w:pPr>
            <w:r>
              <w:rPr>
                <w:rFonts w:hint="eastAsia" w:asciiTheme="minorEastAsia" w:hAnsiTheme="minorEastAsia"/>
                <w:color w:val="auto"/>
                <w:kern w:val="0"/>
                <w:sz w:val="24"/>
              </w:rPr>
              <w:t>序号</w:t>
            </w:r>
          </w:p>
        </w:tc>
        <w:tc>
          <w:tcPr>
            <w:tcW w:w="2054" w:type="dxa"/>
            <w:vMerge w:val="restart"/>
            <w:vAlign w:val="center"/>
          </w:tcPr>
          <w:p>
            <w:pPr>
              <w:jc w:val="center"/>
              <w:rPr>
                <w:rFonts w:asciiTheme="minorEastAsia" w:hAnsiTheme="minorEastAsia"/>
                <w:color w:val="auto"/>
                <w:kern w:val="0"/>
                <w:sz w:val="24"/>
              </w:rPr>
            </w:pPr>
            <w:r>
              <w:rPr>
                <w:rFonts w:hint="eastAsia" w:asciiTheme="minorEastAsia" w:hAnsiTheme="minorEastAsia"/>
                <w:color w:val="auto"/>
                <w:kern w:val="0"/>
                <w:sz w:val="24"/>
              </w:rPr>
              <w:t>部门</w:t>
            </w:r>
          </w:p>
        </w:tc>
        <w:tc>
          <w:tcPr>
            <w:tcW w:w="1259" w:type="dxa"/>
            <w:vMerge w:val="restart"/>
            <w:vAlign w:val="center"/>
          </w:tcPr>
          <w:p>
            <w:pPr>
              <w:jc w:val="center"/>
              <w:rPr>
                <w:rFonts w:asciiTheme="minorEastAsia" w:hAnsiTheme="minorEastAsia"/>
                <w:color w:val="auto"/>
                <w:kern w:val="0"/>
                <w:sz w:val="24"/>
              </w:rPr>
            </w:pPr>
            <w:r>
              <w:rPr>
                <w:rFonts w:hint="eastAsia" w:asciiTheme="minorEastAsia" w:hAnsiTheme="minorEastAsia"/>
                <w:color w:val="auto"/>
                <w:kern w:val="0"/>
                <w:sz w:val="24"/>
              </w:rPr>
              <w:t>职能</w:t>
            </w:r>
          </w:p>
        </w:tc>
        <w:tc>
          <w:tcPr>
            <w:tcW w:w="5249" w:type="dxa"/>
            <w:gridSpan w:val="5"/>
            <w:vAlign w:val="center"/>
          </w:tcPr>
          <w:p>
            <w:pPr>
              <w:jc w:val="center"/>
              <w:rPr>
                <w:rFonts w:asciiTheme="minorEastAsia" w:hAnsiTheme="minorEastAsia"/>
                <w:color w:val="auto"/>
                <w:kern w:val="0"/>
                <w:sz w:val="24"/>
              </w:rPr>
            </w:pPr>
            <w:r>
              <w:rPr>
                <w:rFonts w:hint="eastAsia" w:asciiTheme="minorEastAsia" w:hAnsiTheme="minorEastAsia"/>
                <w:color w:val="auto"/>
                <w:kern w:val="0"/>
                <w:sz w:val="24"/>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931" w:type="dxa"/>
            <w:vMerge w:val="continue"/>
          </w:tcPr>
          <w:p>
            <w:pPr>
              <w:jc w:val="center"/>
              <w:rPr>
                <w:rFonts w:asciiTheme="minorEastAsia" w:hAnsiTheme="minorEastAsia"/>
                <w:color w:val="auto"/>
                <w:kern w:val="0"/>
                <w:sz w:val="24"/>
              </w:rPr>
            </w:pPr>
          </w:p>
        </w:tc>
        <w:tc>
          <w:tcPr>
            <w:tcW w:w="2054" w:type="dxa"/>
            <w:vMerge w:val="continue"/>
          </w:tcPr>
          <w:p>
            <w:pPr>
              <w:jc w:val="center"/>
              <w:rPr>
                <w:rFonts w:asciiTheme="minorEastAsia" w:hAnsiTheme="minorEastAsia"/>
                <w:color w:val="auto"/>
                <w:kern w:val="0"/>
                <w:sz w:val="24"/>
              </w:rPr>
            </w:pPr>
          </w:p>
        </w:tc>
        <w:tc>
          <w:tcPr>
            <w:tcW w:w="1259" w:type="dxa"/>
            <w:vMerge w:val="continue"/>
          </w:tcPr>
          <w:p>
            <w:pPr>
              <w:jc w:val="center"/>
              <w:rPr>
                <w:rFonts w:asciiTheme="minorEastAsia" w:hAnsiTheme="minorEastAsia"/>
                <w:color w:val="auto"/>
                <w:kern w:val="0"/>
                <w:sz w:val="24"/>
              </w:rPr>
            </w:pPr>
          </w:p>
        </w:tc>
        <w:tc>
          <w:tcPr>
            <w:tcW w:w="1204" w:type="dxa"/>
            <w:vAlign w:val="center"/>
          </w:tcPr>
          <w:p>
            <w:pPr>
              <w:jc w:val="center"/>
              <w:rPr>
                <w:rFonts w:asciiTheme="minorEastAsia" w:hAnsiTheme="minorEastAsia"/>
                <w:color w:val="auto"/>
                <w:kern w:val="0"/>
                <w:sz w:val="24"/>
              </w:rPr>
            </w:pPr>
            <w:r>
              <w:rPr>
                <w:rFonts w:hint="eastAsia" w:asciiTheme="minorEastAsia" w:hAnsiTheme="minorEastAsia"/>
                <w:color w:val="auto"/>
                <w:kern w:val="0"/>
                <w:sz w:val="24"/>
              </w:rPr>
              <w:t>姓名</w:t>
            </w:r>
          </w:p>
        </w:tc>
        <w:tc>
          <w:tcPr>
            <w:tcW w:w="961" w:type="dxa"/>
            <w:vAlign w:val="center"/>
          </w:tcPr>
          <w:p>
            <w:pPr>
              <w:jc w:val="center"/>
              <w:rPr>
                <w:rFonts w:asciiTheme="minorEastAsia" w:hAnsiTheme="minorEastAsia"/>
                <w:color w:val="auto"/>
                <w:kern w:val="0"/>
                <w:sz w:val="24"/>
              </w:rPr>
            </w:pPr>
            <w:r>
              <w:rPr>
                <w:rFonts w:hint="eastAsia" w:asciiTheme="minorEastAsia" w:hAnsiTheme="minorEastAsia"/>
                <w:color w:val="auto"/>
                <w:kern w:val="0"/>
                <w:sz w:val="24"/>
              </w:rPr>
              <w:t>年龄</w:t>
            </w:r>
          </w:p>
        </w:tc>
        <w:tc>
          <w:tcPr>
            <w:tcW w:w="961" w:type="dxa"/>
            <w:vAlign w:val="center"/>
          </w:tcPr>
          <w:p>
            <w:pPr>
              <w:jc w:val="center"/>
              <w:rPr>
                <w:rFonts w:asciiTheme="minorEastAsia" w:hAnsiTheme="minorEastAsia"/>
                <w:color w:val="auto"/>
                <w:kern w:val="0"/>
                <w:sz w:val="24"/>
              </w:rPr>
            </w:pPr>
            <w:r>
              <w:rPr>
                <w:rFonts w:hint="eastAsia" w:asciiTheme="minorEastAsia" w:hAnsiTheme="minorEastAsia"/>
                <w:color w:val="auto"/>
                <w:kern w:val="0"/>
                <w:sz w:val="24"/>
              </w:rPr>
              <w:t>文化</w:t>
            </w:r>
          </w:p>
          <w:p>
            <w:pPr>
              <w:jc w:val="center"/>
              <w:rPr>
                <w:rFonts w:asciiTheme="minorEastAsia" w:hAnsiTheme="minorEastAsia"/>
                <w:color w:val="auto"/>
                <w:kern w:val="0"/>
                <w:sz w:val="24"/>
              </w:rPr>
            </w:pPr>
            <w:r>
              <w:rPr>
                <w:rFonts w:hint="eastAsia" w:asciiTheme="minorEastAsia" w:hAnsiTheme="minorEastAsia"/>
                <w:color w:val="auto"/>
                <w:kern w:val="0"/>
                <w:sz w:val="24"/>
              </w:rPr>
              <w:t>程度</w:t>
            </w:r>
          </w:p>
        </w:tc>
        <w:tc>
          <w:tcPr>
            <w:tcW w:w="959" w:type="dxa"/>
            <w:vAlign w:val="center"/>
          </w:tcPr>
          <w:p>
            <w:pPr>
              <w:jc w:val="center"/>
              <w:rPr>
                <w:rFonts w:asciiTheme="minorEastAsia" w:hAnsiTheme="minorEastAsia"/>
                <w:color w:val="auto"/>
                <w:kern w:val="0"/>
                <w:sz w:val="24"/>
              </w:rPr>
            </w:pPr>
            <w:r>
              <w:rPr>
                <w:rFonts w:hint="eastAsia" w:asciiTheme="minorEastAsia" w:hAnsiTheme="minorEastAsia"/>
                <w:color w:val="auto"/>
                <w:kern w:val="0"/>
                <w:sz w:val="24"/>
              </w:rPr>
              <w:t>职称</w:t>
            </w:r>
          </w:p>
        </w:tc>
        <w:tc>
          <w:tcPr>
            <w:tcW w:w="1164" w:type="dxa"/>
            <w:vAlign w:val="center"/>
          </w:tcPr>
          <w:p>
            <w:pPr>
              <w:jc w:val="center"/>
              <w:rPr>
                <w:rFonts w:asciiTheme="minorEastAsia" w:hAnsiTheme="minorEastAsia"/>
                <w:color w:val="auto"/>
                <w:kern w:val="0"/>
                <w:sz w:val="24"/>
              </w:rPr>
            </w:pPr>
            <w:r>
              <w:rPr>
                <w:rFonts w:hint="eastAsia" w:asciiTheme="minorEastAsia" w:hAnsiTheme="minorEastAsia"/>
                <w:color w:val="auto"/>
                <w:kern w:val="0"/>
                <w:sz w:val="24"/>
              </w:rPr>
              <w:t>从业</w:t>
            </w:r>
          </w:p>
          <w:p>
            <w:pPr>
              <w:jc w:val="center"/>
              <w:rPr>
                <w:rFonts w:asciiTheme="minorEastAsia" w:hAnsiTheme="minorEastAsia"/>
                <w:color w:val="auto"/>
                <w:kern w:val="0"/>
                <w:sz w:val="24"/>
              </w:rPr>
            </w:pPr>
            <w:r>
              <w:rPr>
                <w:rFonts w:hint="eastAsia" w:asciiTheme="minorEastAsia" w:hAnsiTheme="minorEastAsia"/>
                <w:color w:val="auto"/>
                <w:kern w:val="0"/>
                <w:sz w:val="24"/>
              </w:rPr>
              <w:t>年限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31" w:type="dxa"/>
          </w:tcPr>
          <w:p>
            <w:pPr>
              <w:jc w:val="center"/>
              <w:rPr>
                <w:rFonts w:asciiTheme="minorEastAsia" w:hAnsiTheme="minorEastAsia"/>
                <w:color w:val="auto"/>
                <w:kern w:val="0"/>
              </w:rPr>
            </w:pPr>
          </w:p>
        </w:tc>
        <w:tc>
          <w:tcPr>
            <w:tcW w:w="2054" w:type="dxa"/>
          </w:tcPr>
          <w:p>
            <w:pPr>
              <w:jc w:val="center"/>
              <w:rPr>
                <w:rFonts w:asciiTheme="minorEastAsia" w:hAnsiTheme="minorEastAsia"/>
                <w:color w:val="auto"/>
                <w:kern w:val="0"/>
              </w:rPr>
            </w:pPr>
          </w:p>
        </w:tc>
        <w:tc>
          <w:tcPr>
            <w:tcW w:w="1259" w:type="dxa"/>
          </w:tcPr>
          <w:p>
            <w:pPr>
              <w:jc w:val="center"/>
              <w:rPr>
                <w:rFonts w:asciiTheme="minorEastAsia" w:hAnsiTheme="minorEastAsia"/>
                <w:color w:val="auto"/>
                <w:kern w:val="0"/>
              </w:rPr>
            </w:pPr>
          </w:p>
        </w:tc>
        <w:tc>
          <w:tcPr>
            <w:tcW w:w="1204" w:type="dxa"/>
          </w:tcPr>
          <w:p>
            <w:pPr>
              <w:jc w:val="center"/>
              <w:rPr>
                <w:rFonts w:asciiTheme="minorEastAsia" w:hAnsiTheme="minorEastAsia"/>
                <w:color w:val="auto"/>
                <w:kern w:val="0"/>
              </w:rPr>
            </w:pPr>
          </w:p>
        </w:tc>
        <w:tc>
          <w:tcPr>
            <w:tcW w:w="961" w:type="dxa"/>
          </w:tcPr>
          <w:p>
            <w:pPr>
              <w:jc w:val="center"/>
              <w:rPr>
                <w:rFonts w:asciiTheme="minorEastAsia" w:hAnsiTheme="minorEastAsia"/>
                <w:color w:val="auto"/>
                <w:kern w:val="0"/>
              </w:rPr>
            </w:pPr>
          </w:p>
        </w:tc>
        <w:tc>
          <w:tcPr>
            <w:tcW w:w="961" w:type="dxa"/>
          </w:tcPr>
          <w:p>
            <w:pPr>
              <w:jc w:val="center"/>
              <w:rPr>
                <w:rFonts w:asciiTheme="minorEastAsia" w:hAnsiTheme="minorEastAsia"/>
                <w:color w:val="auto"/>
                <w:kern w:val="0"/>
              </w:rPr>
            </w:pPr>
          </w:p>
        </w:tc>
        <w:tc>
          <w:tcPr>
            <w:tcW w:w="959" w:type="dxa"/>
          </w:tcPr>
          <w:p>
            <w:pPr>
              <w:jc w:val="center"/>
              <w:rPr>
                <w:rFonts w:asciiTheme="minorEastAsia" w:hAnsiTheme="minorEastAsia"/>
                <w:color w:val="auto"/>
                <w:kern w:val="0"/>
              </w:rPr>
            </w:pPr>
          </w:p>
        </w:tc>
        <w:tc>
          <w:tcPr>
            <w:tcW w:w="1164" w:type="dxa"/>
          </w:tcPr>
          <w:p>
            <w:pPr>
              <w:jc w:val="center"/>
              <w:rPr>
                <w:rFonts w:asciiTheme="minorEastAsia" w:hAnsiTheme="minorEastAsia"/>
                <w:color w:val="auto"/>
                <w:kern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31" w:type="dxa"/>
          </w:tcPr>
          <w:p>
            <w:pPr>
              <w:jc w:val="center"/>
              <w:rPr>
                <w:rFonts w:asciiTheme="minorEastAsia" w:hAnsiTheme="minorEastAsia"/>
                <w:color w:val="auto"/>
                <w:kern w:val="0"/>
              </w:rPr>
            </w:pPr>
          </w:p>
        </w:tc>
        <w:tc>
          <w:tcPr>
            <w:tcW w:w="2054" w:type="dxa"/>
          </w:tcPr>
          <w:p>
            <w:pPr>
              <w:jc w:val="center"/>
              <w:rPr>
                <w:rFonts w:asciiTheme="minorEastAsia" w:hAnsiTheme="minorEastAsia"/>
                <w:color w:val="auto"/>
                <w:kern w:val="0"/>
              </w:rPr>
            </w:pPr>
          </w:p>
        </w:tc>
        <w:tc>
          <w:tcPr>
            <w:tcW w:w="1259" w:type="dxa"/>
          </w:tcPr>
          <w:p>
            <w:pPr>
              <w:jc w:val="center"/>
              <w:rPr>
                <w:rFonts w:asciiTheme="minorEastAsia" w:hAnsiTheme="minorEastAsia"/>
                <w:color w:val="auto"/>
                <w:kern w:val="0"/>
              </w:rPr>
            </w:pPr>
          </w:p>
        </w:tc>
        <w:tc>
          <w:tcPr>
            <w:tcW w:w="1204" w:type="dxa"/>
          </w:tcPr>
          <w:p>
            <w:pPr>
              <w:jc w:val="center"/>
              <w:rPr>
                <w:rFonts w:asciiTheme="minorEastAsia" w:hAnsiTheme="minorEastAsia"/>
                <w:color w:val="auto"/>
                <w:kern w:val="0"/>
              </w:rPr>
            </w:pPr>
          </w:p>
        </w:tc>
        <w:tc>
          <w:tcPr>
            <w:tcW w:w="961" w:type="dxa"/>
          </w:tcPr>
          <w:p>
            <w:pPr>
              <w:jc w:val="center"/>
              <w:rPr>
                <w:rFonts w:asciiTheme="minorEastAsia" w:hAnsiTheme="minorEastAsia"/>
                <w:color w:val="auto"/>
                <w:kern w:val="0"/>
              </w:rPr>
            </w:pPr>
          </w:p>
        </w:tc>
        <w:tc>
          <w:tcPr>
            <w:tcW w:w="961" w:type="dxa"/>
          </w:tcPr>
          <w:p>
            <w:pPr>
              <w:jc w:val="center"/>
              <w:rPr>
                <w:rFonts w:asciiTheme="minorEastAsia" w:hAnsiTheme="minorEastAsia"/>
                <w:color w:val="auto"/>
                <w:kern w:val="0"/>
              </w:rPr>
            </w:pPr>
          </w:p>
        </w:tc>
        <w:tc>
          <w:tcPr>
            <w:tcW w:w="959" w:type="dxa"/>
          </w:tcPr>
          <w:p>
            <w:pPr>
              <w:jc w:val="center"/>
              <w:rPr>
                <w:rFonts w:asciiTheme="minorEastAsia" w:hAnsiTheme="minorEastAsia"/>
                <w:color w:val="auto"/>
                <w:kern w:val="0"/>
              </w:rPr>
            </w:pPr>
          </w:p>
        </w:tc>
        <w:tc>
          <w:tcPr>
            <w:tcW w:w="1164" w:type="dxa"/>
          </w:tcPr>
          <w:p>
            <w:pPr>
              <w:jc w:val="center"/>
              <w:rPr>
                <w:rFonts w:asciiTheme="minorEastAsia" w:hAnsiTheme="minorEastAsia"/>
                <w:color w:val="auto"/>
                <w:kern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31" w:type="dxa"/>
          </w:tcPr>
          <w:p>
            <w:pPr>
              <w:jc w:val="center"/>
              <w:rPr>
                <w:rFonts w:asciiTheme="minorEastAsia" w:hAnsiTheme="minorEastAsia"/>
                <w:color w:val="auto"/>
                <w:kern w:val="0"/>
              </w:rPr>
            </w:pPr>
          </w:p>
        </w:tc>
        <w:tc>
          <w:tcPr>
            <w:tcW w:w="2054" w:type="dxa"/>
          </w:tcPr>
          <w:p>
            <w:pPr>
              <w:jc w:val="center"/>
              <w:rPr>
                <w:rFonts w:asciiTheme="minorEastAsia" w:hAnsiTheme="minorEastAsia"/>
                <w:color w:val="auto"/>
                <w:kern w:val="0"/>
              </w:rPr>
            </w:pPr>
          </w:p>
        </w:tc>
        <w:tc>
          <w:tcPr>
            <w:tcW w:w="1259" w:type="dxa"/>
          </w:tcPr>
          <w:p>
            <w:pPr>
              <w:jc w:val="center"/>
              <w:rPr>
                <w:rFonts w:asciiTheme="minorEastAsia" w:hAnsiTheme="minorEastAsia"/>
                <w:color w:val="auto"/>
                <w:kern w:val="0"/>
              </w:rPr>
            </w:pPr>
          </w:p>
        </w:tc>
        <w:tc>
          <w:tcPr>
            <w:tcW w:w="1204" w:type="dxa"/>
          </w:tcPr>
          <w:p>
            <w:pPr>
              <w:jc w:val="center"/>
              <w:rPr>
                <w:rFonts w:asciiTheme="minorEastAsia" w:hAnsiTheme="minorEastAsia"/>
                <w:color w:val="auto"/>
                <w:kern w:val="0"/>
              </w:rPr>
            </w:pPr>
          </w:p>
        </w:tc>
        <w:tc>
          <w:tcPr>
            <w:tcW w:w="961" w:type="dxa"/>
          </w:tcPr>
          <w:p>
            <w:pPr>
              <w:jc w:val="center"/>
              <w:rPr>
                <w:rFonts w:asciiTheme="minorEastAsia" w:hAnsiTheme="minorEastAsia"/>
                <w:color w:val="auto"/>
                <w:kern w:val="0"/>
              </w:rPr>
            </w:pPr>
          </w:p>
        </w:tc>
        <w:tc>
          <w:tcPr>
            <w:tcW w:w="961" w:type="dxa"/>
          </w:tcPr>
          <w:p>
            <w:pPr>
              <w:jc w:val="center"/>
              <w:rPr>
                <w:rFonts w:asciiTheme="minorEastAsia" w:hAnsiTheme="minorEastAsia"/>
                <w:color w:val="auto"/>
                <w:kern w:val="0"/>
              </w:rPr>
            </w:pPr>
          </w:p>
        </w:tc>
        <w:tc>
          <w:tcPr>
            <w:tcW w:w="959" w:type="dxa"/>
          </w:tcPr>
          <w:p>
            <w:pPr>
              <w:jc w:val="center"/>
              <w:rPr>
                <w:rFonts w:asciiTheme="minorEastAsia" w:hAnsiTheme="minorEastAsia"/>
                <w:color w:val="auto"/>
                <w:kern w:val="0"/>
              </w:rPr>
            </w:pPr>
          </w:p>
        </w:tc>
        <w:tc>
          <w:tcPr>
            <w:tcW w:w="1164" w:type="dxa"/>
          </w:tcPr>
          <w:p>
            <w:pPr>
              <w:jc w:val="center"/>
              <w:rPr>
                <w:rFonts w:asciiTheme="minorEastAsia" w:hAnsiTheme="minorEastAsia"/>
                <w:color w:val="auto"/>
                <w:kern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31" w:type="dxa"/>
          </w:tcPr>
          <w:p>
            <w:pPr>
              <w:jc w:val="center"/>
              <w:rPr>
                <w:rFonts w:asciiTheme="minorEastAsia" w:hAnsiTheme="minorEastAsia"/>
                <w:color w:val="auto"/>
                <w:kern w:val="0"/>
              </w:rPr>
            </w:pPr>
          </w:p>
        </w:tc>
        <w:tc>
          <w:tcPr>
            <w:tcW w:w="2054" w:type="dxa"/>
          </w:tcPr>
          <w:p>
            <w:pPr>
              <w:jc w:val="center"/>
              <w:rPr>
                <w:rFonts w:asciiTheme="minorEastAsia" w:hAnsiTheme="minorEastAsia"/>
                <w:color w:val="auto"/>
                <w:kern w:val="0"/>
              </w:rPr>
            </w:pPr>
          </w:p>
        </w:tc>
        <w:tc>
          <w:tcPr>
            <w:tcW w:w="1259" w:type="dxa"/>
          </w:tcPr>
          <w:p>
            <w:pPr>
              <w:jc w:val="center"/>
              <w:rPr>
                <w:rFonts w:asciiTheme="minorEastAsia" w:hAnsiTheme="minorEastAsia"/>
                <w:color w:val="auto"/>
                <w:kern w:val="0"/>
              </w:rPr>
            </w:pPr>
          </w:p>
        </w:tc>
        <w:tc>
          <w:tcPr>
            <w:tcW w:w="1204" w:type="dxa"/>
          </w:tcPr>
          <w:p>
            <w:pPr>
              <w:jc w:val="center"/>
              <w:rPr>
                <w:rFonts w:asciiTheme="minorEastAsia" w:hAnsiTheme="minorEastAsia"/>
                <w:color w:val="auto"/>
                <w:kern w:val="0"/>
              </w:rPr>
            </w:pPr>
          </w:p>
        </w:tc>
        <w:tc>
          <w:tcPr>
            <w:tcW w:w="961" w:type="dxa"/>
          </w:tcPr>
          <w:p>
            <w:pPr>
              <w:jc w:val="center"/>
              <w:rPr>
                <w:rFonts w:asciiTheme="minorEastAsia" w:hAnsiTheme="minorEastAsia"/>
                <w:color w:val="auto"/>
                <w:kern w:val="0"/>
              </w:rPr>
            </w:pPr>
          </w:p>
        </w:tc>
        <w:tc>
          <w:tcPr>
            <w:tcW w:w="961" w:type="dxa"/>
          </w:tcPr>
          <w:p>
            <w:pPr>
              <w:jc w:val="center"/>
              <w:rPr>
                <w:rFonts w:asciiTheme="minorEastAsia" w:hAnsiTheme="minorEastAsia"/>
                <w:color w:val="auto"/>
                <w:kern w:val="0"/>
              </w:rPr>
            </w:pPr>
          </w:p>
        </w:tc>
        <w:tc>
          <w:tcPr>
            <w:tcW w:w="959" w:type="dxa"/>
          </w:tcPr>
          <w:p>
            <w:pPr>
              <w:jc w:val="center"/>
              <w:rPr>
                <w:rFonts w:asciiTheme="minorEastAsia" w:hAnsiTheme="minorEastAsia"/>
                <w:color w:val="auto"/>
                <w:kern w:val="0"/>
              </w:rPr>
            </w:pPr>
          </w:p>
        </w:tc>
        <w:tc>
          <w:tcPr>
            <w:tcW w:w="1164" w:type="dxa"/>
          </w:tcPr>
          <w:p>
            <w:pPr>
              <w:jc w:val="center"/>
              <w:rPr>
                <w:rFonts w:asciiTheme="minorEastAsia" w:hAnsiTheme="minorEastAsia"/>
                <w:color w:val="auto"/>
                <w:kern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31" w:type="dxa"/>
          </w:tcPr>
          <w:p>
            <w:pPr>
              <w:jc w:val="center"/>
              <w:rPr>
                <w:rFonts w:asciiTheme="minorEastAsia" w:hAnsiTheme="minorEastAsia"/>
                <w:color w:val="auto"/>
                <w:kern w:val="0"/>
              </w:rPr>
            </w:pPr>
          </w:p>
        </w:tc>
        <w:tc>
          <w:tcPr>
            <w:tcW w:w="2054" w:type="dxa"/>
          </w:tcPr>
          <w:p>
            <w:pPr>
              <w:jc w:val="center"/>
              <w:rPr>
                <w:rFonts w:asciiTheme="minorEastAsia" w:hAnsiTheme="minorEastAsia"/>
                <w:color w:val="auto"/>
                <w:kern w:val="0"/>
              </w:rPr>
            </w:pPr>
          </w:p>
        </w:tc>
        <w:tc>
          <w:tcPr>
            <w:tcW w:w="1259" w:type="dxa"/>
          </w:tcPr>
          <w:p>
            <w:pPr>
              <w:jc w:val="center"/>
              <w:rPr>
                <w:rFonts w:asciiTheme="minorEastAsia" w:hAnsiTheme="minorEastAsia"/>
                <w:color w:val="auto"/>
                <w:kern w:val="0"/>
              </w:rPr>
            </w:pPr>
          </w:p>
        </w:tc>
        <w:tc>
          <w:tcPr>
            <w:tcW w:w="1204" w:type="dxa"/>
          </w:tcPr>
          <w:p>
            <w:pPr>
              <w:jc w:val="center"/>
              <w:rPr>
                <w:rFonts w:asciiTheme="minorEastAsia" w:hAnsiTheme="minorEastAsia"/>
                <w:color w:val="auto"/>
                <w:kern w:val="0"/>
              </w:rPr>
            </w:pPr>
          </w:p>
        </w:tc>
        <w:tc>
          <w:tcPr>
            <w:tcW w:w="961" w:type="dxa"/>
          </w:tcPr>
          <w:p>
            <w:pPr>
              <w:jc w:val="center"/>
              <w:rPr>
                <w:rFonts w:asciiTheme="minorEastAsia" w:hAnsiTheme="minorEastAsia"/>
                <w:color w:val="auto"/>
                <w:kern w:val="0"/>
              </w:rPr>
            </w:pPr>
          </w:p>
        </w:tc>
        <w:tc>
          <w:tcPr>
            <w:tcW w:w="961" w:type="dxa"/>
          </w:tcPr>
          <w:p>
            <w:pPr>
              <w:jc w:val="center"/>
              <w:rPr>
                <w:rFonts w:asciiTheme="minorEastAsia" w:hAnsiTheme="minorEastAsia"/>
                <w:color w:val="auto"/>
                <w:kern w:val="0"/>
              </w:rPr>
            </w:pPr>
          </w:p>
        </w:tc>
        <w:tc>
          <w:tcPr>
            <w:tcW w:w="959" w:type="dxa"/>
          </w:tcPr>
          <w:p>
            <w:pPr>
              <w:jc w:val="center"/>
              <w:rPr>
                <w:rFonts w:asciiTheme="minorEastAsia" w:hAnsiTheme="minorEastAsia"/>
                <w:color w:val="auto"/>
                <w:kern w:val="0"/>
              </w:rPr>
            </w:pPr>
          </w:p>
        </w:tc>
        <w:tc>
          <w:tcPr>
            <w:tcW w:w="1164" w:type="dxa"/>
          </w:tcPr>
          <w:p>
            <w:pPr>
              <w:jc w:val="center"/>
              <w:rPr>
                <w:rFonts w:asciiTheme="minorEastAsia" w:hAnsiTheme="minorEastAsia"/>
                <w:color w:val="auto"/>
                <w:kern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 w:hRule="atLeast"/>
          <w:jc w:val="center"/>
        </w:trPr>
        <w:tc>
          <w:tcPr>
            <w:tcW w:w="931" w:type="dxa"/>
          </w:tcPr>
          <w:p>
            <w:pPr>
              <w:jc w:val="center"/>
              <w:rPr>
                <w:rFonts w:asciiTheme="minorEastAsia" w:hAnsiTheme="minorEastAsia"/>
                <w:color w:val="auto"/>
                <w:kern w:val="0"/>
              </w:rPr>
            </w:pPr>
          </w:p>
        </w:tc>
        <w:tc>
          <w:tcPr>
            <w:tcW w:w="2054" w:type="dxa"/>
          </w:tcPr>
          <w:p>
            <w:pPr>
              <w:jc w:val="center"/>
              <w:rPr>
                <w:rFonts w:asciiTheme="minorEastAsia" w:hAnsiTheme="minorEastAsia"/>
                <w:color w:val="auto"/>
                <w:kern w:val="0"/>
              </w:rPr>
            </w:pPr>
          </w:p>
        </w:tc>
        <w:tc>
          <w:tcPr>
            <w:tcW w:w="1259" w:type="dxa"/>
          </w:tcPr>
          <w:p>
            <w:pPr>
              <w:jc w:val="center"/>
              <w:rPr>
                <w:rFonts w:asciiTheme="minorEastAsia" w:hAnsiTheme="minorEastAsia"/>
                <w:color w:val="auto"/>
                <w:kern w:val="0"/>
              </w:rPr>
            </w:pPr>
          </w:p>
        </w:tc>
        <w:tc>
          <w:tcPr>
            <w:tcW w:w="1204" w:type="dxa"/>
          </w:tcPr>
          <w:p>
            <w:pPr>
              <w:jc w:val="center"/>
              <w:rPr>
                <w:rFonts w:asciiTheme="minorEastAsia" w:hAnsiTheme="minorEastAsia"/>
                <w:color w:val="auto"/>
                <w:kern w:val="0"/>
              </w:rPr>
            </w:pPr>
          </w:p>
        </w:tc>
        <w:tc>
          <w:tcPr>
            <w:tcW w:w="961" w:type="dxa"/>
          </w:tcPr>
          <w:p>
            <w:pPr>
              <w:jc w:val="center"/>
              <w:rPr>
                <w:rFonts w:asciiTheme="minorEastAsia" w:hAnsiTheme="minorEastAsia"/>
                <w:color w:val="auto"/>
                <w:kern w:val="0"/>
              </w:rPr>
            </w:pPr>
          </w:p>
        </w:tc>
        <w:tc>
          <w:tcPr>
            <w:tcW w:w="961" w:type="dxa"/>
          </w:tcPr>
          <w:p>
            <w:pPr>
              <w:jc w:val="center"/>
              <w:rPr>
                <w:rFonts w:asciiTheme="minorEastAsia" w:hAnsiTheme="minorEastAsia"/>
                <w:color w:val="auto"/>
                <w:kern w:val="0"/>
              </w:rPr>
            </w:pPr>
          </w:p>
        </w:tc>
        <w:tc>
          <w:tcPr>
            <w:tcW w:w="959" w:type="dxa"/>
          </w:tcPr>
          <w:p>
            <w:pPr>
              <w:jc w:val="center"/>
              <w:rPr>
                <w:rFonts w:asciiTheme="minorEastAsia" w:hAnsiTheme="minorEastAsia"/>
                <w:color w:val="auto"/>
                <w:kern w:val="0"/>
              </w:rPr>
            </w:pPr>
          </w:p>
        </w:tc>
        <w:tc>
          <w:tcPr>
            <w:tcW w:w="1164" w:type="dxa"/>
          </w:tcPr>
          <w:p>
            <w:pPr>
              <w:jc w:val="center"/>
              <w:rPr>
                <w:rFonts w:asciiTheme="minorEastAsia" w:hAnsiTheme="minorEastAsia"/>
                <w:color w:val="auto"/>
                <w:kern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31" w:type="dxa"/>
          </w:tcPr>
          <w:p>
            <w:pPr>
              <w:jc w:val="center"/>
              <w:rPr>
                <w:rFonts w:asciiTheme="minorEastAsia" w:hAnsiTheme="minorEastAsia"/>
                <w:color w:val="auto"/>
                <w:kern w:val="0"/>
              </w:rPr>
            </w:pPr>
          </w:p>
        </w:tc>
        <w:tc>
          <w:tcPr>
            <w:tcW w:w="2054" w:type="dxa"/>
          </w:tcPr>
          <w:p>
            <w:pPr>
              <w:jc w:val="center"/>
              <w:rPr>
                <w:rFonts w:asciiTheme="minorEastAsia" w:hAnsiTheme="minorEastAsia"/>
                <w:color w:val="auto"/>
                <w:kern w:val="0"/>
              </w:rPr>
            </w:pPr>
          </w:p>
        </w:tc>
        <w:tc>
          <w:tcPr>
            <w:tcW w:w="1259" w:type="dxa"/>
          </w:tcPr>
          <w:p>
            <w:pPr>
              <w:jc w:val="center"/>
              <w:rPr>
                <w:rFonts w:asciiTheme="minorEastAsia" w:hAnsiTheme="minorEastAsia"/>
                <w:color w:val="auto"/>
                <w:kern w:val="0"/>
              </w:rPr>
            </w:pPr>
          </w:p>
        </w:tc>
        <w:tc>
          <w:tcPr>
            <w:tcW w:w="1204" w:type="dxa"/>
          </w:tcPr>
          <w:p>
            <w:pPr>
              <w:jc w:val="center"/>
              <w:rPr>
                <w:rFonts w:asciiTheme="minorEastAsia" w:hAnsiTheme="minorEastAsia"/>
                <w:color w:val="auto"/>
                <w:kern w:val="0"/>
              </w:rPr>
            </w:pPr>
          </w:p>
        </w:tc>
        <w:tc>
          <w:tcPr>
            <w:tcW w:w="961" w:type="dxa"/>
          </w:tcPr>
          <w:p>
            <w:pPr>
              <w:jc w:val="center"/>
              <w:rPr>
                <w:rFonts w:asciiTheme="minorEastAsia" w:hAnsiTheme="minorEastAsia"/>
                <w:color w:val="auto"/>
                <w:kern w:val="0"/>
              </w:rPr>
            </w:pPr>
          </w:p>
        </w:tc>
        <w:tc>
          <w:tcPr>
            <w:tcW w:w="961" w:type="dxa"/>
          </w:tcPr>
          <w:p>
            <w:pPr>
              <w:jc w:val="center"/>
              <w:rPr>
                <w:rFonts w:asciiTheme="minorEastAsia" w:hAnsiTheme="minorEastAsia"/>
                <w:color w:val="auto"/>
                <w:kern w:val="0"/>
              </w:rPr>
            </w:pPr>
          </w:p>
        </w:tc>
        <w:tc>
          <w:tcPr>
            <w:tcW w:w="959" w:type="dxa"/>
          </w:tcPr>
          <w:p>
            <w:pPr>
              <w:jc w:val="center"/>
              <w:rPr>
                <w:rFonts w:asciiTheme="minorEastAsia" w:hAnsiTheme="minorEastAsia"/>
                <w:color w:val="auto"/>
                <w:kern w:val="0"/>
              </w:rPr>
            </w:pPr>
          </w:p>
        </w:tc>
        <w:tc>
          <w:tcPr>
            <w:tcW w:w="1164" w:type="dxa"/>
          </w:tcPr>
          <w:p>
            <w:pPr>
              <w:jc w:val="center"/>
              <w:rPr>
                <w:rFonts w:asciiTheme="minorEastAsia" w:hAnsiTheme="minorEastAsia"/>
                <w:color w:val="auto"/>
                <w:kern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31" w:type="dxa"/>
          </w:tcPr>
          <w:p>
            <w:pPr>
              <w:jc w:val="center"/>
              <w:rPr>
                <w:rFonts w:asciiTheme="minorEastAsia" w:hAnsiTheme="minorEastAsia"/>
                <w:color w:val="auto"/>
                <w:kern w:val="0"/>
              </w:rPr>
            </w:pPr>
          </w:p>
        </w:tc>
        <w:tc>
          <w:tcPr>
            <w:tcW w:w="2054" w:type="dxa"/>
          </w:tcPr>
          <w:p>
            <w:pPr>
              <w:jc w:val="center"/>
              <w:rPr>
                <w:rFonts w:asciiTheme="minorEastAsia" w:hAnsiTheme="minorEastAsia"/>
                <w:color w:val="auto"/>
                <w:kern w:val="0"/>
              </w:rPr>
            </w:pPr>
          </w:p>
        </w:tc>
        <w:tc>
          <w:tcPr>
            <w:tcW w:w="1259" w:type="dxa"/>
          </w:tcPr>
          <w:p>
            <w:pPr>
              <w:jc w:val="center"/>
              <w:rPr>
                <w:rFonts w:asciiTheme="minorEastAsia" w:hAnsiTheme="minorEastAsia"/>
                <w:color w:val="auto"/>
                <w:kern w:val="0"/>
              </w:rPr>
            </w:pPr>
          </w:p>
        </w:tc>
        <w:tc>
          <w:tcPr>
            <w:tcW w:w="1204" w:type="dxa"/>
          </w:tcPr>
          <w:p>
            <w:pPr>
              <w:jc w:val="center"/>
              <w:rPr>
                <w:rFonts w:asciiTheme="minorEastAsia" w:hAnsiTheme="minorEastAsia"/>
                <w:color w:val="auto"/>
                <w:kern w:val="0"/>
              </w:rPr>
            </w:pPr>
          </w:p>
        </w:tc>
        <w:tc>
          <w:tcPr>
            <w:tcW w:w="961" w:type="dxa"/>
          </w:tcPr>
          <w:p>
            <w:pPr>
              <w:jc w:val="center"/>
              <w:rPr>
                <w:rFonts w:asciiTheme="minorEastAsia" w:hAnsiTheme="minorEastAsia"/>
                <w:color w:val="auto"/>
                <w:kern w:val="0"/>
              </w:rPr>
            </w:pPr>
          </w:p>
        </w:tc>
        <w:tc>
          <w:tcPr>
            <w:tcW w:w="961" w:type="dxa"/>
          </w:tcPr>
          <w:p>
            <w:pPr>
              <w:jc w:val="center"/>
              <w:rPr>
                <w:rFonts w:asciiTheme="minorEastAsia" w:hAnsiTheme="minorEastAsia"/>
                <w:color w:val="auto"/>
                <w:kern w:val="0"/>
              </w:rPr>
            </w:pPr>
          </w:p>
        </w:tc>
        <w:tc>
          <w:tcPr>
            <w:tcW w:w="959" w:type="dxa"/>
          </w:tcPr>
          <w:p>
            <w:pPr>
              <w:jc w:val="center"/>
              <w:rPr>
                <w:rFonts w:asciiTheme="minorEastAsia" w:hAnsiTheme="minorEastAsia"/>
                <w:color w:val="auto"/>
                <w:kern w:val="0"/>
              </w:rPr>
            </w:pPr>
          </w:p>
        </w:tc>
        <w:tc>
          <w:tcPr>
            <w:tcW w:w="1164" w:type="dxa"/>
          </w:tcPr>
          <w:p>
            <w:pPr>
              <w:jc w:val="center"/>
              <w:rPr>
                <w:rFonts w:asciiTheme="minorEastAsia" w:hAnsiTheme="minorEastAsia"/>
                <w:color w:val="auto"/>
                <w:kern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31" w:type="dxa"/>
          </w:tcPr>
          <w:p>
            <w:pPr>
              <w:jc w:val="center"/>
              <w:rPr>
                <w:rFonts w:asciiTheme="minorEastAsia" w:hAnsiTheme="minorEastAsia"/>
                <w:color w:val="auto"/>
                <w:kern w:val="0"/>
              </w:rPr>
            </w:pPr>
          </w:p>
        </w:tc>
        <w:tc>
          <w:tcPr>
            <w:tcW w:w="2054" w:type="dxa"/>
          </w:tcPr>
          <w:p>
            <w:pPr>
              <w:jc w:val="center"/>
              <w:rPr>
                <w:rFonts w:asciiTheme="minorEastAsia" w:hAnsiTheme="minorEastAsia"/>
                <w:color w:val="auto"/>
                <w:kern w:val="0"/>
              </w:rPr>
            </w:pPr>
          </w:p>
        </w:tc>
        <w:tc>
          <w:tcPr>
            <w:tcW w:w="1259" w:type="dxa"/>
          </w:tcPr>
          <w:p>
            <w:pPr>
              <w:jc w:val="center"/>
              <w:rPr>
                <w:rFonts w:asciiTheme="minorEastAsia" w:hAnsiTheme="minorEastAsia"/>
                <w:color w:val="auto"/>
                <w:kern w:val="0"/>
              </w:rPr>
            </w:pPr>
          </w:p>
        </w:tc>
        <w:tc>
          <w:tcPr>
            <w:tcW w:w="1204" w:type="dxa"/>
          </w:tcPr>
          <w:p>
            <w:pPr>
              <w:jc w:val="center"/>
              <w:rPr>
                <w:rFonts w:asciiTheme="minorEastAsia" w:hAnsiTheme="minorEastAsia"/>
                <w:color w:val="auto"/>
                <w:kern w:val="0"/>
              </w:rPr>
            </w:pPr>
          </w:p>
        </w:tc>
        <w:tc>
          <w:tcPr>
            <w:tcW w:w="961" w:type="dxa"/>
          </w:tcPr>
          <w:p>
            <w:pPr>
              <w:jc w:val="center"/>
              <w:rPr>
                <w:rFonts w:asciiTheme="minorEastAsia" w:hAnsiTheme="minorEastAsia"/>
                <w:color w:val="auto"/>
                <w:kern w:val="0"/>
              </w:rPr>
            </w:pPr>
          </w:p>
        </w:tc>
        <w:tc>
          <w:tcPr>
            <w:tcW w:w="961" w:type="dxa"/>
          </w:tcPr>
          <w:p>
            <w:pPr>
              <w:jc w:val="center"/>
              <w:rPr>
                <w:rFonts w:asciiTheme="minorEastAsia" w:hAnsiTheme="minorEastAsia"/>
                <w:color w:val="auto"/>
                <w:kern w:val="0"/>
              </w:rPr>
            </w:pPr>
          </w:p>
        </w:tc>
        <w:tc>
          <w:tcPr>
            <w:tcW w:w="959" w:type="dxa"/>
          </w:tcPr>
          <w:p>
            <w:pPr>
              <w:jc w:val="center"/>
              <w:rPr>
                <w:rFonts w:asciiTheme="minorEastAsia" w:hAnsiTheme="minorEastAsia"/>
                <w:color w:val="auto"/>
                <w:kern w:val="0"/>
              </w:rPr>
            </w:pPr>
          </w:p>
        </w:tc>
        <w:tc>
          <w:tcPr>
            <w:tcW w:w="1164" w:type="dxa"/>
          </w:tcPr>
          <w:p>
            <w:pPr>
              <w:jc w:val="center"/>
              <w:rPr>
                <w:rFonts w:asciiTheme="minorEastAsia" w:hAnsiTheme="minorEastAsia"/>
                <w:color w:val="auto"/>
                <w:kern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931" w:type="dxa"/>
          </w:tcPr>
          <w:p>
            <w:pPr>
              <w:jc w:val="center"/>
              <w:rPr>
                <w:rFonts w:asciiTheme="minorEastAsia" w:hAnsiTheme="minorEastAsia"/>
                <w:color w:val="auto"/>
                <w:kern w:val="0"/>
              </w:rPr>
            </w:pPr>
          </w:p>
        </w:tc>
        <w:tc>
          <w:tcPr>
            <w:tcW w:w="2054" w:type="dxa"/>
          </w:tcPr>
          <w:p>
            <w:pPr>
              <w:jc w:val="center"/>
              <w:rPr>
                <w:rFonts w:asciiTheme="minorEastAsia" w:hAnsiTheme="minorEastAsia"/>
                <w:color w:val="auto"/>
                <w:kern w:val="0"/>
              </w:rPr>
            </w:pPr>
          </w:p>
        </w:tc>
        <w:tc>
          <w:tcPr>
            <w:tcW w:w="1259" w:type="dxa"/>
          </w:tcPr>
          <w:p>
            <w:pPr>
              <w:jc w:val="center"/>
              <w:rPr>
                <w:rFonts w:asciiTheme="minorEastAsia" w:hAnsiTheme="minorEastAsia"/>
                <w:color w:val="auto"/>
                <w:kern w:val="0"/>
              </w:rPr>
            </w:pPr>
          </w:p>
        </w:tc>
        <w:tc>
          <w:tcPr>
            <w:tcW w:w="1204" w:type="dxa"/>
          </w:tcPr>
          <w:p>
            <w:pPr>
              <w:jc w:val="center"/>
              <w:rPr>
                <w:rFonts w:asciiTheme="minorEastAsia" w:hAnsiTheme="minorEastAsia"/>
                <w:color w:val="auto"/>
                <w:kern w:val="0"/>
              </w:rPr>
            </w:pPr>
          </w:p>
        </w:tc>
        <w:tc>
          <w:tcPr>
            <w:tcW w:w="961" w:type="dxa"/>
          </w:tcPr>
          <w:p>
            <w:pPr>
              <w:jc w:val="center"/>
              <w:rPr>
                <w:rFonts w:asciiTheme="minorEastAsia" w:hAnsiTheme="minorEastAsia"/>
                <w:color w:val="auto"/>
                <w:kern w:val="0"/>
              </w:rPr>
            </w:pPr>
          </w:p>
        </w:tc>
        <w:tc>
          <w:tcPr>
            <w:tcW w:w="961" w:type="dxa"/>
          </w:tcPr>
          <w:p>
            <w:pPr>
              <w:jc w:val="center"/>
              <w:rPr>
                <w:rFonts w:asciiTheme="minorEastAsia" w:hAnsiTheme="minorEastAsia"/>
                <w:color w:val="auto"/>
                <w:kern w:val="0"/>
              </w:rPr>
            </w:pPr>
          </w:p>
        </w:tc>
        <w:tc>
          <w:tcPr>
            <w:tcW w:w="959" w:type="dxa"/>
          </w:tcPr>
          <w:p>
            <w:pPr>
              <w:jc w:val="center"/>
              <w:rPr>
                <w:rFonts w:asciiTheme="minorEastAsia" w:hAnsiTheme="minorEastAsia"/>
                <w:color w:val="auto"/>
                <w:kern w:val="0"/>
              </w:rPr>
            </w:pPr>
          </w:p>
        </w:tc>
        <w:tc>
          <w:tcPr>
            <w:tcW w:w="1164" w:type="dxa"/>
          </w:tcPr>
          <w:p>
            <w:pPr>
              <w:jc w:val="center"/>
              <w:rPr>
                <w:rFonts w:asciiTheme="minorEastAsia" w:hAnsiTheme="minorEastAsia"/>
                <w:color w:val="auto"/>
                <w:kern w:val="0"/>
              </w:rPr>
            </w:pPr>
          </w:p>
        </w:tc>
      </w:tr>
    </w:tbl>
    <w:p>
      <w:pPr>
        <w:tabs>
          <w:tab w:val="left" w:pos="0"/>
          <w:tab w:val="left" w:pos="7920"/>
        </w:tabs>
        <w:spacing w:line="360" w:lineRule="auto"/>
        <w:jc w:val="left"/>
        <w:rPr>
          <w:rFonts w:cs="Tahoma" w:asciiTheme="minorEastAsia" w:hAnsiTheme="minorEastAsia"/>
          <w:b/>
          <w:bCs/>
          <w:color w:val="auto"/>
          <w:kern w:val="32"/>
          <w:sz w:val="24"/>
          <w:szCs w:val="32"/>
        </w:rPr>
      </w:pPr>
      <w:r>
        <w:rPr>
          <w:rFonts w:hint="eastAsia" w:cs="Tahoma" w:asciiTheme="minorEastAsia" w:hAnsiTheme="minorEastAsia"/>
          <w:b/>
          <w:bCs/>
          <w:color w:val="auto"/>
          <w:kern w:val="32"/>
          <w:sz w:val="24"/>
          <w:szCs w:val="32"/>
        </w:rPr>
        <w:t>注：附相关证件的复印件，如身份证、资质证等。</w:t>
      </w:r>
    </w:p>
    <w:p>
      <w:pPr>
        <w:tabs>
          <w:tab w:val="left" w:pos="0"/>
          <w:tab w:val="left" w:pos="7920"/>
        </w:tabs>
        <w:spacing w:line="360" w:lineRule="auto"/>
        <w:jc w:val="center"/>
        <w:rPr>
          <w:rFonts w:cs="Tahoma" w:asciiTheme="minorEastAsia" w:hAnsiTheme="minorEastAsia"/>
          <w:b/>
          <w:bCs/>
          <w:color w:val="auto"/>
          <w:kern w:val="32"/>
          <w:sz w:val="24"/>
          <w:szCs w:val="32"/>
        </w:rPr>
      </w:pPr>
    </w:p>
    <w:p>
      <w:pPr>
        <w:tabs>
          <w:tab w:val="left" w:pos="0"/>
          <w:tab w:val="left" w:pos="7920"/>
        </w:tabs>
        <w:spacing w:line="360" w:lineRule="auto"/>
        <w:jc w:val="center"/>
        <w:rPr>
          <w:rFonts w:cs="Tahoma" w:asciiTheme="minorEastAsia" w:hAnsiTheme="minorEastAsia"/>
          <w:b/>
          <w:bCs/>
          <w:color w:val="auto"/>
          <w:kern w:val="32"/>
          <w:sz w:val="24"/>
          <w:szCs w:val="32"/>
        </w:rPr>
      </w:pPr>
    </w:p>
    <w:p>
      <w:pPr>
        <w:tabs>
          <w:tab w:val="left" w:pos="0"/>
          <w:tab w:val="left" w:pos="7920"/>
        </w:tabs>
        <w:spacing w:line="360" w:lineRule="auto"/>
        <w:jc w:val="center"/>
        <w:rPr>
          <w:rFonts w:cs="Tahoma" w:asciiTheme="minorEastAsia" w:hAnsiTheme="minorEastAsia"/>
          <w:b/>
          <w:bCs/>
          <w:color w:val="auto"/>
          <w:kern w:val="32"/>
          <w:sz w:val="24"/>
          <w:szCs w:val="32"/>
        </w:rPr>
      </w:pPr>
    </w:p>
    <w:p>
      <w:pPr>
        <w:tabs>
          <w:tab w:val="left" w:pos="0"/>
          <w:tab w:val="left" w:pos="7920"/>
        </w:tabs>
        <w:spacing w:line="360" w:lineRule="auto"/>
        <w:jc w:val="center"/>
        <w:rPr>
          <w:rFonts w:cs="Tahoma" w:asciiTheme="minorEastAsia" w:hAnsiTheme="minorEastAsia"/>
          <w:b/>
          <w:bCs/>
          <w:color w:val="auto"/>
          <w:kern w:val="32"/>
          <w:sz w:val="24"/>
          <w:szCs w:val="32"/>
        </w:rPr>
      </w:pPr>
    </w:p>
    <w:p>
      <w:pPr>
        <w:tabs>
          <w:tab w:val="left" w:pos="0"/>
          <w:tab w:val="left" w:pos="7920"/>
        </w:tabs>
        <w:spacing w:line="360" w:lineRule="auto"/>
        <w:jc w:val="center"/>
        <w:rPr>
          <w:rFonts w:cs="Tahoma" w:asciiTheme="minorEastAsia" w:hAnsiTheme="minorEastAsia"/>
          <w:b/>
          <w:bCs/>
          <w:color w:val="auto"/>
          <w:kern w:val="32"/>
          <w:sz w:val="24"/>
          <w:szCs w:val="32"/>
        </w:rPr>
      </w:pPr>
    </w:p>
    <w:p>
      <w:pPr>
        <w:tabs>
          <w:tab w:val="left" w:pos="0"/>
          <w:tab w:val="left" w:pos="7920"/>
        </w:tabs>
        <w:spacing w:line="360" w:lineRule="auto"/>
        <w:jc w:val="center"/>
        <w:rPr>
          <w:rFonts w:cs="Tahoma" w:asciiTheme="minorEastAsia" w:hAnsiTheme="minorEastAsia"/>
          <w:b/>
          <w:bCs/>
          <w:color w:val="auto"/>
          <w:kern w:val="32"/>
          <w:sz w:val="24"/>
          <w:szCs w:val="32"/>
        </w:rPr>
      </w:pPr>
    </w:p>
    <w:p>
      <w:pPr>
        <w:tabs>
          <w:tab w:val="left" w:pos="0"/>
          <w:tab w:val="left" w:pos="7920"/>
        </w:tabs>
        <w:spacing w:line="360" w:lineRule="auto"/>
        <w:jc w:val="center"/>
        <w:rPr>
          <w:rFonts w:cs="Tahoma" w:asciiTheme="minorEastAsia" w:hAnsiTheme="minorEastAsia"/>
          <w:b/>
          <w:bCs/>
          <w:color w:val="auto"/>
          <w:kern w:val="32"/>
          <w:sz w:val="24"/>
          <w:szCs w:val="32"/>
        </w:rPr>
      </w:pPr>
    </w:p>
    <w:p>
      <w:pPr>
        <w:tabs>
          <w:tab w:val="left" w:pos="0"/>
          <w:tab w:val="left" w:pos="7920"/>
        </w:tabs>
        <w:spacing w:line="360" w:lineRule="auto"/>
        <w:jc w:val="center"/>
        <w:rPr>
          <w:rFonts w:cs="Tahoma" w:asciiTheme="minorEastAsia" w:hAnsiTheme="minorEastAsia"/>
          <w:b/>
          <w:bCs/>
          <w:color w:val="auto"/>
          <w:kern w:val="32"/>
          <w:sz w:val="24"/>
          <w:szCs w:val="32"/>
        </w:rPr>
      </w:pPr>
    </w:p>
    <w:p>
      <w:pPr>
        <w:pStyle w:val="2"/>
        <w:numPr>
          <w:ilvl w:val="1"/>
          <w:numId w:val="0"/>
        </w:numPr>
        <w:spacing w:line="600" w:lineRule="exact"/>
        <w:jc w:val="center"/>
        <w:rPr>
          <w:rFonts w:asciiTheme="minorEastAsia" w:hAnsiTheme="minorEastAsia" w:eastAsiaTheme="minorEastAsia"/>
          <w:color w:val="auto"/>
          <w:w w:val="100"/>
          <w:kern w:val="32"/>
        </w:rPr>
      </w:pPr>
      <w:bookmarkStart w:id="121" w:name="_Toc321052840"/>
      <w:r>
        <w:rPr>
          <w:rFonts w:hint="eastAsia" w:asciiTheme="minorEastAsia" w:hAnsiTheme="minorEastAsia" w:eastAsiaTheme="minorEastAsia"/>
          <w:color w:val="auto"/>
          <w:w w:val="100"/>
          <w:kern w:val="32"/>
        </w:rPr>
        <w:t>七、</w:t>
      </w:r>
      <w:bookmarkEnd w:id="121"/>
      <w:r>
        <w:rPr>
          <w:rFonts w:hint="eastAsia" w:asciiTheme="minorEastAsia" w:hAnsiTheme="minorEastAsia" w:eastAsiaTheme="minorEastAsia"/>
          <w:color w:val="auto"/>
          <w:w w:val="100"/>
          <w:kern w:val="32"/>
        </w:rPr>
        <w:t>主要项目经营业绩表</w:t>
      </w:r>
    </w:p>
    <w:p>
      <w:pPr>
        <w:spacing w:line="400" w:lineRule="exact"/>
        <w:rPr>
          <w:rFonts w:asciiTheme="minorEastAsia" w:hAnsiTheme="minorEastAsia"/>
          <w:color w:val="auto"/>
          <w:szCs w:val="21"/>
        </w:rPr>
      </w:pPr>
    </w:p>
    <w:tbl>
      <w:tblPr>
        <w:tblStyle w:val="16"/>
        <w:tblW w:w="99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57"/>
        <w:gridCol w:w="1687"/>
        <w:gridCol w:w="2117"/>
        <w:gridCol w:w="1474"/>
        <w:gridCol w:w="1246"/>
        <w:gridCol w:w="17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757" w:type="dxa"/>
            <w:vAlign w:val="center"/>
          </w:tcPr>
          <w:p>
            <w:pPr>
              <w:tabs>
                <w:tab w:val="left" w:pos="7920"/>
              </w:tabs>
              <w:spacing w:line="500" w:lineRule="exact"/>
              <w:ind w:right="15" w:rightChars="7"/>
              <w:jc w:val="center"/>
              <w:rPr>
                <w:rFonts w:asciiTheme="minorEastAsia" w:hAnsiTheme="minorEastAsia"/>
                <w:color w:val="auto"/>
                <w:sz w:val="24"/>
              </w:rPr>
            </w:pPr>
            <w:r>
              <w:rPr>
                <w:rFonts w:hint="eastAsia" w:asciiTheme="minorEastAsia" w:hAnsiTheme="minorEastAsia"/>
                <w:color w:val="auto"/>
                <w:sz w:val="24"/>
              </w:rPr>
              <w:t>出租方</w:t>
            </w:r>
          </w:p>
        </w:tc>
        <w:tc>
          <w:tcPr>
            <w:tcW w:w="1687" w:type="dxa"/>
            <w:vAlign w:val="center"/>
          </w:tcPr>
          <w:p>
            <w:pPr>
              <w:tabs>
                <w:tab w:val="left" w:pos="7920"/>
              </w:tabs>
              <w:spacing w:line="500" w:lineRule="exact"/>
              <w:ind w:right="15" w:rightChars="7"/>
              <w:jc w:val="center"/>
              <w:rPr>
                <w:rFonts w:asciiTheme="minorEastAsia" w:hAnsiTheme="minorEastAsia"/>
                <w:color w:val="auto"/>
                <w:sz w:val="24"/>
              </w:rPr>
            </w:pPr>
            <w:r>
              <w:rPr>
                <w:rFonts w:hint="eastAsia" w:asciiTheme="minorEastAsia" w:hAnsiTheme="minorEastAsia"/>
                <w:color w:val="auto"/>
                <w:sz w:val="24"/>
              </w:rPr>
              <w:t>项目名称</w:t>
            </w:r>
          </w:p>
        </w:tc>
        <w:tc>
          <w:tcPr>
            <w:tcW w:w="2117" w:type="dxa"/>
            <w:vAlign w:val="center"/>
          </w:tcPr>
          <w:p>
            <w:pPr>
              <w:tabs>
                <w:tab w:val="left" w:pos="7920"/>
              </w:tabs>
              <w:spacing w:line="500" w:lineRule="exact"/>
              <w:ind w:right="15" w:rightChars="7"/>
              <w:jc w:val="center"/>
              <w:rPr>
                <w:rFonts w:asciiTheme="minorEastAsia" w:hAnsiTheme="minorEastAsia"/>
                <w:color w:val="auto"/>
                <w:sz w:val="24"/>
              </w:rPr>
            </w:pPr>
            <w:r>
              <w:rPr>
                <w:rFonts w:hint="eastAsia" w:asciiTheme="minorEastAsia" w:hAnsiTheme="minorEastAsia"/>
                <w:color w:val="auto"/>
                <w:sz w:val="24"/>
              </w:rPr>
              <w:t>经营规模（面积）</w:t>
            </w:r>
          </w:p>
        </w:tc>
        <w:tc>
          <w:tcPr>
            <w:tcW w:w="1474" w:type="dxa"/>
            <w:vAlign w:val="center"/>
          </w:tcPr>
          <w:p>
            <w:pPr>
              <w:tabs>
                <w:tab w:val="left" w:pos="7920"/>
              </w:tabs>
              <w:spacing w:line="500" w:lineRule="exact"/>
              <w:ind w:right="15" w:rightChars="7"/>
              <w:jc w:val="center"/>
              <w:rPr>
                <w:rFonts w:asciiTheme="minorEastAsia" w:hAnsiTheme="minorEastAsia"/>
                <w:color w:val="auto"/>
                <w:sz w:val="24"/>
              </w:rPr>
            </w:pPr>
            <w:r>
              <w:rPr>
                <w:rFonts w:hint="eastAsia" w:asciiTheme="minorEastAsia" w:hAnsiTheme="minorEastAsia"/>
                <w:color w:val="auto"/>
                <w:sz w:val="24"/>
              </w:rPr>
              <w:t>经营期限</w:t>
            </w:r>
          </w:p>
        </w:tc>
        <w:tc>
          <w:tcPr>
            <w:tcW w:w="1246" w:type="dxa"/>
            <w:vAlign w:val="center"/>
          </w:tcPr>
          <w:p>
            <w:pPr>
              <w:tabs>
                <w:tab w:val="left" w:pos="7920"/>
              </w:tabs>
              <w:spacing w:line="500" w:lineRule="exact"/>
              <w:ind w:right="15" w:rightChars="7"/>
              <w:jc w:val="center"/>
              <w:rPr>
                <w:rFonts w:asciiTheme="minorEastAsia" w:hAnsiTheme="minorEastAsia"/>
                <w:color w:val="auto"/>
                <w:sz w:val="24"/>
              </w:rPr>
            </w:pPr>
            <w:r>
              <w:rPr>
                <w:rFonts w:hint="eastAsia" w:asciiTheme="minorEastAsia" w:hAnsiTheme="minorEastAsia"/>
                <w:color w:val="auto"/>
                <w:sz w:val="24"/>
              </w:rPr>
              <w:t>项目所在地</w:t>
            </w:r>
          </w:p>
        </w:tc>
        <w:tc>
          <w:tcPr>
            <w:tcW w:w="1702" w:type="dxa"/>
            <w:vAlign w:val="center"/>
          </w:tcPr>
          <w:p>
            <w:pPr>
              <w:tabs>
                <w:tab w:val="left" w:pos="7920"/>
              </w:tabs>
              <w:spacing w:line="500" w:lineRule="exact"/>
              <w:ind w:right="15" w:rightChars="7"/>
              <w:jc w:val="center"/>
              <w:rPr>
                <w:rFonts w:asciiTheme="minorEastAsia" w:hAnsiTheme="minorEastAsia"/>
                <w:color w:val="auto"/>
                <w:sz w:val="24"/>
              </w:rPr>
            </w:pPr>
            <w:r>
              <w:rPr>
                <w:rFonts w:hint="eastAsia" w:asciiTheme="minorEastAsia" w:hAnsiTheme="minorEastAsia"/>
                <w:color w:val="auto"/>
                <w:sz w:val="24"/>
              </w:rPr>
              <w:t>合同价格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1757" w:type="dxa"/>
            <w:vAlign w:val="center"/>
          </w:tcPr>
          <w:p>
            <w:pPr>
              <w:spacing w:line="480" w:lineRule="exact"/>
              <w:jc w:val="center"/>
              <w:rPr>
                <w:rFonts w:asciiTheme="minorEastAsia" w:hAnsiTheme="minorEastAsia"/>
                <w:color w:val="auto"/>
              </w:rPr>
            </w:pPr>
          </w:p>
        </w:tc>
        <w:tc>
          <w:tcPr>
            <w:tcW w:w="1687" w:type="dxa"/>
            <w:vAlign w:val="center"/>
          </w:tcPr>
          <w:p>
            <w:pPr>
              <w:spacing w:line="480" w:lineRule="exact"/>
              <w:jc w:val="center"/>
              <w:rPr>
                <w:rFonts w:asciiTheme="minorEastAsia" w:hAnsiTheme="minorEastAsia"/>
                <w:color w:val="auto"/>
              </w:rPr>
            </w:pPr>
          </w:p>
        </w:tc>
        <w:tc>
          <w:tcPr>
            <w:tcW w:w="2117" w:type="dxa"/>
            <w:vAlign w:val="center"/>
          </w:tcPr>
          <w:p>
            <w:pPr>
              <w:jc w:val="center"/>
              <w:rPr>
                <w:rFonts w:asciiTheme="minorEastAsia" w:hAnsiTheme="minorEastAsia"/>
                <w:b/>
                <w:color w:val="auto"/>
              </w:rPr>
            </w:pPr>
          </w:p>
        </w:tc>
        <w:tc>
          <w:tcPr>
            <w:tcW w:w="1474" w:type="dxa"/>
            <w:vAlign w:val="center"/>
          </w:tcPr>
          <w:p>
            <w:pPr>
              <w:spacing w:line="480" w:lineRule="exact"/>
              <w:jc w:val="center"/>
              <w:rPr>
                <w:rFonts w:asciiTheme="minorEastAsia" w:hAnsiTheme="minorEastAsia"/>
                <w:color w:val="auto"/>
              </w:rPr>
            </w:pPr>
          </w:p>
        </w:tc>
        <w:tc>
          <w:tcPr>
            <w:tcW w:w="1246" w:type="dxa"/>
            <w:vAlign w:val="center"/>
          </w:tcPr>
          <w:p>
            <w:pPr>
              <w:spacing w:line="480" w:lineRule="exact"/>
              <w:jc w:val="center"/>
              <w:rPr>
                <w:rFonts w:asciiTheme="minorEastAsia" w:hAnsiTheme="minorEastAsia"/>
                <w:color w:val="auto"/>
              </w:rPr>
            </w:pPr>
          </w:p>
        </w:tc>
        <w:tc>
          <w:tcPr>
            <w:tcW w:w="1702" w:type="dxa"/>
            <w:vAlign w:val="center"/>
          </w:tcPr>
          <w:p>
            <w:pPr>
              <w:spacing w:line="480" w:lineRule="exact"/>
              <w:jc w:val="center"/>
              <w:rPr>
                <w:rFonts w:asciiTheme="minorEastAsia" w:hAnsiTheme="minor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1757" w:type="dxa"/>
            <w:vAlign w:val="center"/>
          </w:tcPr>
          <w:p>
            <w:pPr>
              <w:spacing w:line="480" w:lineRule="exact"/>
              <w:jc w:val="center"/>
              <w:rPr>
                <w:rFonts w:asciiTheme="minorEastAsia" w:hAnsiTheme="minorEastAsia"/>
                <w:color w:val="auto"/>
              </w:rPr>
            </w:pPr>
          </w:p>
        </w:tc>
        <w:tc>
          <w:tcPr>
            <w:tcW w:w="1687" w:type="dxa"/>
            <w:vAlign w:val="center"/>
          </w:tcPr>
          <w:p>
            <w:pPr>
              <w:spacing w:line="480" w:lineRule="exact"/>
              <w:jc w:val="center"/>
              <w:rPr>
                <w:rFonts w:asciiTheme="minorEastAsia" w:hAnsiTheme="minorEastAsia"/>
                <w:color w:val="auto"/>
              </w:rPr>
            </w:pPr>
          </w:p>
        </w:tc>
        <w:tc>
          <w:tcPr>
            <w:tcW w:w="2117" w:type="dxa"/>
            <w:vAlign w:val="center"/>
          </w:tcPr>
          <w:p>
            <w:pPr>
              <w:spacing w:line="480" w:lineRule="exact"/>
              <w:jc w:val="center"/>
              <w:rPr>
                <w:rFonts w:asciiTheme="minorEastAsia" w:hAnsiTheme="minorEastAsia"/>
                <w:color w:val="auto"/>
              </w:rPr>
            </w:pPr>
          </w:p>
        </w:tc>
        <w:tc>
          <w:tcPr>
            <w:tcW w:w="1474" w:type="dxa"/>
            <w:vAlign w:val="center"/>
          </w:tcPr>
          <w:p>
            <w:pPr>
              <w:spacing w:line="480" w:lineRule="exact"/>
              <w:jc w:val="center"/>
              <w:rPr>
                <w:rFonts w:asciiTheme="minorEastAsia" w:hAnsiTheme="minorEastAsia"/>
                <w:color w:val="auto"/>
              </w:rPr>
            </w:pPr>
          </w:p>
        </w:tc>
        <w:tc>
          <w:tcPr>
            <w:tcW w:w="1246" w:type="dxa"/>
            <w:vAlign w:val="center"/>
          </w:tcPr>
          <w:p>
            <w:pPr>
              <w:spacing w:line="480" w:lineRule="exact"/>
              <w:jc w:val="center"/>
              <w:rPr>
                <w:rFonts w:asciiTheme="minorEastAsia" w:hAnsiTheme="minorEastAsia"/>
                <w:color w:val="auto"/>
              </w:rPr>
            </w:pPr>
          </w:p>
        </w:tc>
        <w:tc>
          <w:tcPr>
            <w:tcW w:w="1702" w:type="dxa"/>
            <w:vAlign w:val="center"/>
          </w:tcPr>
          <w:p>
            <w:pPr>
              <w:spacing w:line="480" w:lineRule="exact"/>
              <w:jc w:val="center"/>
              <w:rPr>
                <w:rFonts w:asciiTheme="minorEastAsia" w:hAnsiTheme="minor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1757" w:type="dxa"/>
            <w:vAlign w:val="center"/>
          </w:tcPr>
          <w:p>
            <w:pPr>
              <w:spacing w:line="480" w:lineRule="exact"/>
              <w:jc w:val="center"/>
              <w:rPr>
                <w:rFonts w:asciiTheme="minorEastAsia" w:hAnsiTheme="minorEastAsia"/>
                <w:color w:val="auto"/>
              </w:rPr>
            </w:pPr>
          </w:p>
        </w:tc>
        <w:tc>
          <w:tcPr>
            <w:tcW w:w="1687" w:type="dxa"/>
            <w:vAlign w:val="center"/>
          </w:tcPr>
          <w:p>
            <w:pPr>
              <w:spacing w:line="480" w:lineRule="exact"/>
              <w:jc w:val="center"/>
              <w:rPr>
                <w:rFonts w:asciiTheme="minorEastAsia" w:hAnsiTheme="minorEastAsia"/>
                <w:color w:val="auto"/>
              </w:rPr>
            </w:pPr>
          </w:p>
        </w:tc>
        <w:tc>
          <w:tcPr>
            <w:tcW w:w="2117" w:type="dxa"/>
            <w:vAlign w:val="center"/>
          </w:tcPr>
          <w:p>
            <w:pPr>
              <w:spacing w:line="480" w:lineRule="exact"/>
              <w:jc w:val="center"/>
              <w:rPr>
                <w:rFonts w:asciiTheme="minorEastAsia" w:hAnsiTheme="minorEastAsia"/>
                <w:color w:val="auto"/>
              </w:rPr>
            </w:pPr>
          </w:p>
        </w:tc>
        <w:tc>
          <w:tcPr>
            <w:tcW w:w="1474" w:type="dxa"/>
            <w:vAlign w:val="center"/>
          </w:tcPr>
          <w:p>
            <w:pPr>
              <w:spacing w:line="480" w:lineRule="exact"/>
              <w:jc w:val="center"/>
              <w:rPr>
                <w:rFonts w:asciiTheme="minorEastAsia" w:hAnsiTheme="minorEastAsia"/>
                <w:color w:val="auto"/>
              </w:rPr>
            </w:pPr>
          </w:p>
        </w:tc>
        <w:tc>
          <w:tcPr>
            <w:tcW w:w="1246" w:type="dxa"/>
            <w:vAlign w:val="center"/>
          </w:tcPr>
          <w:p>
            <w:pPr>
              <w:spacing w:line="480" w:lineRule="exact"/>
              <w:jc w:val="center"/>
              <w:rPr>
                <w:rFonts w:asciiTheme="minorEastAsia" w:hAnsiTheme="minorEastAsia"/>
                <w:color w:val="auto"/>
              </w:rPr>
            </w:pPr>
          </w:p>
        </w:tc>
        <w:tc>
          <w:tcPr>
            <w:tcW w:w="1702" w:type="dxa"/>
            <w:vAlign w:val="center"/>
          </w:tcPr>
          <w:p>
            <w:pPr>
              <w:spacing w:line="480" w:lineRule="exact"/>
              <w:jc w:val="center"/>
              <w:rPr>
                <w:rFonts w:asciiTheme="minorEastAsia" w:hAnsiTheme="minor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1757" w:type="dxa"/>
            <w:vAlign w:val="center"/>
          </w:tcPr>
          <w:p>
            <w:pPr>
              <w:spacing w:line="480" w:lineRule="exact"/>
              <w:jc w:val="center"/>
              <w:rPr>
                <w:rFonts w:asciiTheme="minorEastAsia" w:hAnsiTheme="minorEastAsia"/>
                <w:color w:val="auto"/>
              </w:rPr>
            </w:pPr>
          </w:p>
        </w:tc>
        <w:tc>
          <w:tcPr>
            <w:tcW w:w="1687" w:type="dxa"/>
            <w:vAlign w:val="center"/>
          </w:tcPr>
          <w:p>
            <w:pPr>
              <w:spacing w:line="480" w:lineRule="exact"/>
              <w:jc w:val="center"/>
              <w:rPr>
                <w:rFonts w:asciiTheme="minorEastAsia" w:hAnsiTheme="minorEastAsia"/>
                <w:color w:val="auto"/>
              </w:rPr>
            </w:pPr>
          </w:p>
        </w:tc>
        <w:tc>
          <w:tcPr>
            <w:tcW w:w="2117" w:type="dxa"/>
            <w:vAlign w:val="center"/>
          </w:tcPr>
          <w:p>
            <w:pPr>
              <w:spacing w:line="480" w:lineRule="exact"/>
              <w:jc w:val="center"/>
              <w:rPr>
                <w:rFonts w:asciiTheme="minorEastAsia" w:hAnsiTheme="minorEastAsia"/>
                <w:color w:val="auto"/>
              </w:rPr>
            </w:pPr>
          </w:p>
        </w:tc>
        <w:tc>
          <w:tcPr>
            <w:tcW w:w="1474" w:type="dxa"/>
            <w:vAlign w:val="center"/>
          </w:tcPr>
          <w:p>
            <w:pPr>
              <w:spacing w:line="480" w:lineRule="exact"/>
              <w:jc w:val="center"/>
              <w:rPr>
                <w:rFonts w:asciiTheme="minorEastAsia" w:hAnsiTheme="minorEastAsia"/>
                <w:color w:val="auto"/>
              </w:rPr>
            </w:pPr>
          </w:p>
        </w:tc>
        <w:tc>
          <w:tcPr>
            <w:tcW w:w="1246" w:type="dxa"/>
            <w:vAlign w:val="center"/>
          </w:tcPr>
          <w:p>
            <w:pPr>
              <w:spacing w:line="480" w:lineRule="exact"/>
              <w:jc w:val="center"/>
              <w:rPr>
                <w:rFonts w:asciiTheme="minorEastAsia" w:hAnsiTheme="minorEastAsia"/>
                <w:color w:val="auto"/>
              </w:rPr>
            </w:pPr>
          </w:p>
        </w:tc>
        <w:tc>
          <w:tcPr>
            <w:tcW w:w="1702" w:type="dxa"/>
            <w:vAlign w:val="center"/>
          </w:tcPr>
          <w:p>
            <w:pPr>
              <w:spacing w:line="480" w:lineRule="exact"/>
              <w:jc w:val="center"/>
              <w:rPr>
                <w:rFonts w:asciiTheme="minorEastAsia" w:hAnsiTheme="minor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1757" w:type="dxa"/>
            <w:vAlign w:val="center"/>
          </w:tcPr>
          <w:p>
            <w:pPr>
              <w:spacing w:line="480" w:lineRule="exact"/>
              <w:jc w:val="center"/>
              <w:rPr>
                <w:rFonts w:asciiTheme="minorEastAsia" w:hAnsiTheme="minorEastAsia"/>
                <w:color w:val="auto"/>
              </w:rPr>
            </w:pPr>
          </w:p>
        </w:tc>
        <w:tc>
          <w:tcPr>
            <w:tcW w:w="1687" w:type="dxa"/>
            <w:vAlign w:val="center"/>
          </w:tcPr>
          <w:p>
            <w:pPr>
              <w:spacing w:line="480" w:lineRule="exact"/>
              <w:jc w:val="center"/>
              <w:rPr>
                <w:rFonts w:asciiTheme="minorEastAsia" w:hAnsiTheme="minorEastAsia"/>
                <w:color w:val="auto"/>
              </w:rPr>
            </w:pPr>
          </w:p>
        </w:tc>
        <w:tc>
          <w:tcPr>
            <w:tcW w:w="2117" w:type="dxa"/>
            <w:vAlign w:val="center"/>
          </w:tcPr>
          <w:p>
            <w:pPr>
              <w:spacing w:line="480" w:lineRule="exact"/>
              <w:jc w:val="center"/>
              <w:rPr>
                <w:rFonts w:asciiTheme="minorEastAsia" w:hAnsiTheme="minorEastAsia"/>
                <w:color w:val="auto"/>
              </w:rPr>
            </w:pPr>
          </w:p>
        </w:tc>
        <w:tc>
          <w:tcPr>
            <w:tcW w:w="1474" w:type="dxa"/>
            <w:vAlign w:val="center"/>
          </w:tcPr>
          <w:p>
            <w:pPr>
              <w:spacing w:line="480" w:lineRule="exact"/>
              <w:jc w:val="center"/>
              <w:rPr>
                <w:rFonts w:asciiTheme="minorEastAsia" w:hAnsiTheme="minorEastAsia"/>
                <w:color w:val="auto"/>
              </w:rPr>
            </w:pPr>
          </w:p>
        </w:tc>
        <w:tc>
          <w:tcPr>
            <w:tcW w:w="1246" w:type="dxa"/>
            <w:vAlign w:val="center"/>
          </w:tcPr>
          <w:p>
            <w:pPr>
              <w:spacing w:line="480" w:lineRule="exact"/>
              <w:jc w:val="center"/>
              <w:rPr>
                <w:rFonts w:asciiTheme="minorEastAsia" w:hAnsiTheme="minorEastAsia"/>
                <w:color w:val="auto"/>
              </w:rPr>
            </w:pPr>
          </w:p>
        </w:tc>
        <w:tc>
          <w:tcPr>
            <w:tcW w:w="1702" w:type="dxa"/>
            <w:vAlign w:val="center"/>
          </w:tcPr>
          <w:p>
            <w:pPr>
              <w:spacing w:line="480" w:lineRule="exact"/>
              <w:jc w:val="center"/>
              <w:rPr>
                <w:rFonts w:asciiTheme="minorEastAsia" w:hAnsiTheme="minor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1757" w:type="dxa"/>
            <w:vAlign w:val="center"/>
          </w:tcPr>
          <w:p>
            <w:pPr>
              <w:spacing w:line="480" w:lineRule="exact"/>
              <w:jc w:val="center"/>
              <w:rPr>
                <w:rFonts w:asciiTheme="minorEastAsia" w:hAnsiTheme="minorEastAsia"/>
                <w:color w:val="auto"/>
              </w:rPr>
            </w:pPr>
          </w:p>
        </w:tc>
        <w:tc>
          <w:tcPr>
            <w:tcW w:w="1687" w:type="dxa"/>
            <w:vAlign w:val="center"/>
          </w:tcPr>
          <w:p>
            <w:pPr>
              <w:spacing w:line="480" w:lineRule="exact"/>
              <w:jc w:val="center"/>
              <w:rPr>
                <w:rFonts w:asciiTheme="minorEastAsia" w:hAnsiTheme="minorEastAsia"/>
                <w:color w:val="auto"/>
              </w:rPr>
            </w:pPr>
          </w:p>
        </w:tc>
        <w:tc>
          <w:tcPr>
            <w:tcW w:w="2117" w:type="dxa"/>
            <w:vAlign w:val="center"/>
          </w:tcPr>
          <w:p>
            <w:pPr>
              <w:spacing w:line="480" w:lineRule="exact"/>
              <w:jc w:val="center"/>
              <w:rPr>
                <w:rFonts w:asciiTheme="minorEastAsia" w:hAnsiTheme="minorEastAsia"/>
                <w:color w:val="auto"/>
              </w:rPr>
            </w:pPr>
          </w:p>
        </w:tc>
        <w:tc>
          <w:tcPr>
            <w:tcW w:w="1474" w:type="dxa"/>
            <w:vAlign w:val="center"/>
          </w:tcPr>
          <w:p>
            <w:pPr>
              <w:spacing w:line="480" w:lineRule="exact"/>
              <w:jc w:val="center"/>
              <w:rPr>
                <w:rFonts w:asciiTheme="minorEastAsia" w:hAnsiTheme="minorEastAsia"/>
                <w:color w:val="auto"/>
              </w:rPr>
            </w:pPr>
          </w:p>
        </w:tc>
        <w:tc>
          <w:tcPr>
            <w:tcW w:w="1246" w:type="dxa"/>
            <w:vAlign w:val="center"/>
          </w:tcPr>
          <w:p>
            <w:pPr>
              <w:spacing w:line="480" w:lineRule="exact"/>
              <w:jc w:val="center"/>
              <w:rPr>
                <w:rFonts w:asciiTheme="minorEastAsia" w:hAnsiTheme="minorEastAsia"/>
                <w:color w:val="auto"/>
              </w:rPr>
            </w:pPr>
          </w:p>
        </w:tc>
        <w:tc>
          <w:tcPr>
            <w:tcW w:w="1702" w:type="dxa"/>
            <w:vAlign w:val="center"/>
          </w:tcPr>
          <w:p>
            <w:pPr>
              <w:spacing w:line="480" w:lineRule="exact"/>
              <w:jc w:val="center"/>
              <w:rPr>
                <w:rFonts w:asciiTheme="minorEastAsia" w:hAnsiTheme="minor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1757" w:type="dxa"/>
            <w:vAlign w:val="center"/>
          </w:tcPr>
          <w:p>
            <w:pPr>
              <w:spacing w:line="480" w:lineRule="exact"/>
              <w:jc w:val="center"/>
              <w:rPr>
                <w:rFonts w:asciiTheme="minorEastAsia" w:hAnsiTheme="minorEastAsia"/>
                <w:color w:val="auto"/>
              </w:rPr>
            </w:pPr>
          </w:p>
        </w:tc>
        <w:tc>
          <w:tcPr>
            <w:tcW w:w="1687" w:type="dxa"/>
            <w:vAlign w:val="center"/>
          </w:tcPr>
          <w:p>
            <w:pPr>
              <w:spacing w:line="480" w:lineRule="exact"/>
              <w:jc w:val="center"/>
              <w:rPr>
                <w:rFonts w:asciiTheme="minorEastAsia" w:hAnsiTheme="minorEastAsia"/>
                <w:color w:val="auto"/>
              </w:rPr>
            </w:pPr>
          </w:p>
        </w:tc>
        <w:tc>
          <w:tcPr>
            <w:tcW w:w="2117" w:type="dxa"/>
            <w:vAlign w:val="center"/>
          </w:tcPr>
          <w:p>
            <w:pPr>
              <w:spacing w:line="480" w:lineRule="exact"/>
              <w:jc w:val="center"/>
              <w:rPr>
                <w:rFonts w:asciiTheme="minorEastAsia" w:hAnsiTheme="minorEastAsia"/>
                <w:color w:val="auto"/>
              </w:rPr>
            </w:pPr>
          </w:p>
        </w:tc>
        <w:tc>
          <w:tcPr>
            <w:tcW w:w="1474" w:type="dxa"/>
            <w:vAlign w:val="center"/>
          </w:tcPr>
          <w:p>
            <w:pPr>
              <w:spacing w:line="480" w:lineRule="exact"/>
              <w:jc w:val="center"/>
              <w:rPr>
                <w:rFonts w:asciiTheme="minorEastAsia" w:hAnsiTheme="minorEastAsia"/>
                <w:color w:val="auto"/>
              </w:rPr>
            </w:pPr>
          </w:p>
        </w:tc>
        <w:tc>
          <w:tcPr>
            <w:tcW w:w="1246" w:type="dxa"/>
            <w:vAlign w:val="center"/>
          </w:tcPr>
          <w:p>
            <w:pPr>
              <w:spacing w:line="480" w:lineRule="exact"/>
              <w:jc w:val="center"/>
              <w:rPr>
                <w:rFonts w:asciiTheme="minorEastAsia" w:hAnsiTheme="minorEastAsia"/>
                <w:color w:val="auto"/>
              </w:rPr>
            </w:pPr>
          </w:p>
        </w:tc>
        <w:tc>
          <w:tcPr>
            <w:tcW w:w="1702" w:type="dxa"/>
            <w:vAlign w:val="center"/>
          </w:tcPr>
          <w:p>
            <w:pPr>
              <w:spacing w:line="480" w:lineRule="exact"/>
              <w:jc w:val="center"/>
              <w:rPr>
                <w:rFonts w:asciiTheme="minorEastAsia" w:hAnsiTheme="minorEastAsia"/>
                <w:color w:val="auto"/>
              </w:rPr>
            </w:pPr>
          </w:p>
        </w:tc>
      </w:tr>
    </w:tbl>
    <w:p>
      <w:pPr>
        <w:tabs>
          <w:tab w:val="left" w:pos="7920"/>
        </w:tabs>
        <w:spacing w:line="500" w:lineRule="exact"/>
        <w:ind w:left="-94" w:leftChars="-45" w:right="15" w:rightChars="7" w:firstLine="576" w:firstLineChars="240"/>
        <w:rPr>
          <w:rFonts w:asciiTheme="minorEastAsia" w:hAnsiTheme="minorEastAsia"/>
          <w:color w:val="auto"/>
          <w:sz w:val="24"/>
        </w:rPr>
      </w:pPr>
      <w:r>
        <w:rPr>
          <w:rFonts w:hint="eastAsia" w:asciiTheme="minorEastAsia" w:hAnsiTheme="minorEastAsia"/>
          <w:color w:val="auto"/>
          <w:sz w:val="24"/>
        </w:rPr>
        <w:t>附合同复印件</w:t>
      </w:r>
    </w:p>
    <w:p>
      <w:pPr>
        <w:rPr>
          <w:rFonts w:asciiTheme="minorEastAsia" w:hAnsiTheme="minorEastAsia"/>
          <w:color w:val="auto"/>
        </w:rPr>
      </w:pPr>
    </w:p>
    <w:p>
      <w:pPr>
        <w:rPr>
          <w:rFonts w:asciiTheme="minorEastAsia" w:hAnsiTheme="minorEastAsia"/>
          <w:color w:val="auto"/>
          <w:kern w:val="32"/>
          <w:sz w:val="24"/>
        </w:rPr>
      </w:pPr>
    </w:p>
    <w:p>
      <w:pPr>
        <w:rPr>
          <w:rFonts w:asciiTheme="minorEastAsia" w:hAnsiTheme="minorEastAsia"/>
          <w:color w:val="auto"/>
          <w:kern w:val="32"/>
          <w:sz w:val="24"/>
        </w:rPr>
      </w:pPr>
    </w:p>
    <w:p>
      <w:pPr>
        <w:rPr>
          <w:rFonts w:asciiTheme="minorEastAsia" w:hAnsiTheme="minorEastAsia"/>
          <w:color w:val="auto"/>
          <w:kern w:val="32"/>
          <w:sz w:val="24"/>
        </w:rPr>
      </w:pPr>
    </w:p>
    <w:p>
      <w:pPr>
        <w:rPr>
          <w:rFonts w:asciiTheme="minorEastAsia" w:hAnsiTheme="minorEastAsia"/>
          <w:color w:val="auto"/>
          <w:kern w:val="32"/>
          <w:sz w:val="24"/>
        </w:rPr>
      </w:pPr>
    </w:p>
    <w:p>
      <w:pPr>
        <w:rPr>
          <w:rFonts w:asciiTheme="minorEastAsia" w:hAnsiTheme="minorEastAsia"/>
          <w:color w:val="auto"/>
          <w:kern w:val="32"/>
          <w:sz w:val="24"/>
        </w:rPr>
      </w:pPr>
    </w:p>
    <w:p>
      <w:pPr>
        <w:rPr>
          <w:rFonts w:asciiTheme="minorEastAsia" w:hAnsiTheme="minorEastAsia"/>
          <w:color w:val="auto"/>
          <w:kern w:val="32"/>
          <w:sz w:val="24"/>
        </w:rPr>
      </w:pPr>
    </w:p>
    <w:p>
      <w:pPr>
        <w:rPr>
          <w:rFonts w:asciiTheme="minorEastAsia" w:hAnsiTheme="minorEastAsia"/>
          <w:color w:val="auto"/>
          <w:kern w:val="32"/>
          <w:sz w:val="24"/>
        </w:rPr>
      </w:pPr>
    </w:p>
    <w:p>
      <w:pPr>
        <w:rPr>
          <w:rFonts w:asciiTheme="minorEastAsia" w:hAnsiTheme="minorEastAsia"/>
          <w:color w:val="auto"/>
          <w:kern w:val="32"/>
          <w:sz w:val="24"/>
        </w:rPr>
      </w:pPr>
    </w:p>
    <w:p>
      <w:pPr>
        <w:rPr>
          <w:rFonts w:asciiTheme="minorEastAsia" w:hAnsiTheme="minorEastAsia"/>
          <w:color w:val="auto"/>
          <w:kern w:val="32"/>
          <w:sz w:val="24"/>
        </w:rPr>
      </w:pPr>
    </w:p>
    <w:p>
      <w:pPr>
        <w:rPr>
          <w:rFonts w:asciiTheme="minorEastAsia" w:hAnsiTheme="minorEastAsia"/>
          <w:color w:val="auto"/>
          <w:kern w:val="32"/>
          <w:sz w:val="24"/>
        </w:rPr>
      </w:pPr>
    </w:p>
    <w:p>
      <w:pPr>
        <w:rPr>
          <w:rFonts w:asciiTheme="minorEastAsia" w:hAnsiTheme="minorEastAsia"/>
          <w:color w:val="auto"/>
          <w:kern w:val="32"/>
          <w:sz w:val="24"/>
        </w:rPr>
      </w:pPr>
    </w:p>
    <w:p>
      <w:pPr>
        <w:rPr>
          <w:rFonts w:asciiTheme="minorEastAsia" w:hAnsiTheme="minorEastAsia"/>
          <w:color w:val="auto"/>
          <w:kern w:val="32"/>
          <w:sz w:val="24"/>
        </w:rPr>
      </w:pPr>
    </w:p>
    <w:p>
      <w:pPr>
        <w:rPr>
          <w:rFonts w:asciiTheme="minorEastAsia" w:hAnsiTheme="minorEastAsia"/>
          <w:color w:val="auto"/>
          <w:kern w:val="32"/>
          <w:sz w:val="24"/>
        </w:rPr>
      </w:pPr>
    </w:p>
    <w:p>
      <w:pPr>
        <w:rPr>
          <w:rFonts w:asciiTheme="minorEastAsia" w:hAnsiTheme="minorEastAsia"/>
          <w:color w:val="auto"/>
          <w:kern w:val="32"/>
          <w:sz w:val="24"/>
        </w:rPr>
      </w:pPr>
    </w:p>
    <w:p>
      <w:pPr>
        <w:rPr>
          <w:rFonts w:asciiTheme="minorEastAsia" w:hAnsiTheme="minorEastAsia"/>
          <w:color w:val="auto"/>
          <w:kern w:val="32"/>
          <w:sz w:val="24"/>
        </w:rPr>
      </w:pPr>
    </w:p>
    <w:p>
      <w:pPr>
        <w:rPr>
          <w:rFonts w:asciiTheme="minorEastAsia" w:hAnsiTheme="minorEastAsia"/>
          <w:color w:val="auto"/>
          <w:kern w:val="32"/>
          <w:sz w:val="24"/>
        </w:rPr>
      </w:pPr>
    </w:p>
    <w:p>
      <w:pPr>
        <w:rPr>
          <w:rFonts w:asciiTheme="minorEastAsia" w:hAnsiTheme="minorEastAsia"/>
          <w:color w:val="auto"/>
          <w:kern w:val="32"/>
          <w:sz w:val="24"/>
        </w:rPr>
      </w:pPr>
    </w:p>
    <w:p>
      <w:pPr>
        <w:pStyle w:val="2"/>
        <w:numPr>
          <w:ilvl w:val="1"/>
          <w:numId w:val="0"/>
        </w:numPr>
        <w:spacing w:line="600" w:lineRule="exact"/>
        <w:jc w:val="center"/>
        <w:rPr>
          <w:rFonts w:asciiTheme="minorEastAsia" w:hAnsiTheme="minorEastAsia" w:eastAsiaTheme="minorEastAsia"/>
          <w:color w:val="auto"/>
          <w:w w:val="100"/>
          <w:kern w:val="32"/>
        </w:rPr>
      </w:pPr>
      <w:bookmarkStart w:id="122" w:name="_Toc321052842"/>
      <w:r>
        <w:rPr>
          <w:rFonts w:asciiTheme="minorEastAsia" w:hAnsiTheme="minorEastAsia" w:eastAsiaTheme="minorEastAsia"/>
          <w:color w:val="auto"/>
          <w:w w:val="100"/>
          <w:kern w:val="32"/>
        </w:rPr>
        <w:br w:type="page"/>
      </w:r>
      <w:r>
        <w:rPr>
          <w:rFonts w:hint="eastAsia" w:asciiTheme="minorEastAsia" w:hAnsiTheme="minorEastAsia" w:eastAsiaTheme="minorEastAsia"/>
          <w:color w:val="auto"/>
          <w:w w:val="100"/>
          <w:kern w:val="32"/>
        </w:rPr>
        <w:t>八、投标人资格证明文件</w:t>
      </w:r>
      <w:bookmarkEnd w:id="122"/>
    </w:p>
    <w:p>
      <w:pPr>
        <w:rPr>
          <w:rFonts w:asciiTheme="minorEastAsia" w:hAnsiTheme="minorEastAsia"/>
          <w:color w:val="auto"/>
          <w:kern w:val="32"/>
          <w:sz w:val="24"/>
        </w:rPr>
      </w:pPr>
    </w:p>
    <w:p>
      <w:pPr>
        <w:numPr>
          <w:ilvl w:val="0"/>
          <w:numId w:val="6"/>
        </w:numPr>
        <w:spacing w:line="520" w:lineRule="exact"/>
        <w:ind w:firstLine="480" w:firstLineChars="200"/>
        <w:rPr>
          <w:rFonts w:ascii="仿宋" w:hAnsi="仿宋" w:eastAsia="仿宋" w:cs="仿宋"/>
          <w:color w:val="auto"/>
          <w:sz w:val="24"/>
        </w:rPr>
      </w:pPr>
      <w:r>
        <w:rPr>
          <w:rFonts w:hint="eastAsia" w:ascii="仿宋" w:hAnsi="仿宋" w:eastAsia="仿宋" w:cs="仿宋"/>
          <w:color w:val="auto"/>
          <w:sz w:val="24"/>
        </w:rPr>
        <w:t>投标人基本资格条件的证明材料（餐饮企业营业执照复印件、卫生许可证以及企业代码复印件、法人、或者其他组织的营业执照等主体资格证明文件，自然人的身份证明，财务状况报告、依法缴纳税收和社会保险费的相关证明，</w:t>
      </w:r>
      <w:r>
        <w:rPr>
          <w:rFonts w:hint="eastAsia" w:ascii="仿宋" w:hAnsi="仿宋" w:eastAsia="仿宋" w:cs="仿宋"/>
          <w:b/>
          <w:bCs/>
          <w:color w:val="auto"/>
          <w:sz w:val="24"/>
        </w:rPr>
        <w:t>具体内容详见招标公告</w:t>
      </w:r>
      <w:r>
        <w:rPr>
          <w:rFonts w:hint="eastAsia" w:ascii="仿宋" w:hAnsi="仿宋" w:eastAsia="仿宋" w:cs="仿宋"/>
          <w:color w:val="auto"/>
          <w:sz w:val="24"/>
        </w:rPr>
        <w:t>）</w:t>
      </w:r>
    </w:p>
    <w:p>
      <w:pPr>
        <w:spacing w:line="520" w:lineRule="exact"/>
        <w:ind w:firstLine="480" w:firstLineChars="200"/>
        <w:rPr>
          <w:rFonts w:ascii="仿宋" w:hAnsi="仿宋" w:eastAsia="仿宋" w:cs="仿宋"/>
          <w:color w:val="auto"/>
          <w:sz w:val="24"/>
        </w:rPr>
      </w:pPr>
      <w:r>
        <w:rPr>
          <w:rFonts w:hint="eastAsia" w:ascii="仿宋" w:hAnsi="仿宋" w:eastAsia="仿宋" w:cs="仿宋"/>
          <w:color w:val="auto"/>
          <w:sz w:val="24"/>
        </w:rPr>
        <w:t>特定资格条件的证明材料（</w:t>
      </w:r>
      <w:r>
        <w:rPr>
          <w:rFonts w:ascii="仿宋" w:hAnsi="仿宋" w:eastAsia="仿宋" w:cs="仿宋"/>
          <w:color w:val="auto"/>
          <w:sz w:val="24"/>
        </w:rPr>
        <w:t>1.</w:t>
      </w:r>
      <w:r>
        <w:rPr>
          <w:rFonts w:hint="eastAsia" w:ascii="仿宋" w:hAnsi="仿宋" w:eastAsia="仿宋" w:cs="仿宋"/>
          <w:color w:val="auto"/>
          <w:sz w:val="24"/>
        </w:rPr>
        <w:t>经工商注册为独立法人资格的社会餐饮企业，各项证照合法齐全，注册资金</w:t>
      </w:r>
      <w:r>
        <w:rPr>
          <w:rFonts w:ascii="仿宋" w:hAnsi="仿宋" w:eastAsia="仿宋" w:cs="仿宋"/>
          <w:color w:val="auto"/>
          <w:sz w:val="24"/>
        </w:rPr>
        <w:t>100</w:t>
      </w:r>
      <w:r>
        <w:rPr>
          <w:rFonts w:hint="eastAsia" w:ascii="仿宋" w:hAnsi="仿宋" w:eastAsia="仿宋" w:cs="仿宋"/>
          <w:color w:val="auto"/>
          <w:sz w:val="24"/>
        </w:rPr>
        <w:t>万元以上。近三年内有从事团餐餐饮经营服务的经历，以往经营过程中无食物中毒等食品安全事故发生。</w:t>
      </w:r>
    </w:p>
    <w:p>
      <w:pPr>
        <w:widowControl/>
        <w:numPr>
          <w:ilvl w:val="255"/>
          <w:numId w:val="0"/>
        </w:numPr>
        <w:shd w:val="clear" w:color="auto" w:fill="FFFFFF"/>
        <w:spacing w:before="15"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2.投标人必须是餐饮企业的法定代表人或餐饮企业的授权委托人，授权委托人必须具有两年以上从事餐饮管理服务的经验，提供相关合同复印并加盖单位公章、食堂、消防管理经验相关证明资料；携原件备查。经查实提供的证明资料存在弄虚作假的，视为无效中标，后果自负。）</w:t>
      </w:r>
    </w:p>
    <w:p>
      <w:pPr>
        <w:pStyle w:val="15"/>
        <w:numPr>
          <w:ilvl w:val="0"/>
          <w:numId w:val="7"/>
        </w:numPr>
        <w:ind w:left="480" w:firstLine="2711" w:firstLineChars="900"/>
        <w:rPr>
          <w:b/>
          <w:bCs/>
          <w:color w:val="auto"/>
        </w:rPr>
      </w:pPr>
      <w:r>
        <w:rPr>
          <w:rFonts w:hint="eastAsia"/>
          <w:b/>
          <w:bCs/>
          <w:color w:val="auto"/>
        </w:rPr>
        <w:t>响应说明</w:t>
      </w:r>
    </w:p>
    <w:p>
      <w:pPr>
        <w:pStyle w:val="3"/>
        <w:spacing w:line="360" w:lineRule="auto"/>
        <w:ind w:firstLine="480" w:firstLineChars="200"/>
        <w:rPr>
          <w:rFonts w:hint="eastAsia" w:cs="Times New Roman" w:asciiTheme="minorEastAsia" w:hAnsiTheme="minorEastAsia" w:eastAsiaTheme="minorEastAsia"/>
          <w:b w:val="0"/>
          <w:bCs w:val="0"/>
          <w:color w:val="auto"/>
          <w:kern w:val="2"/>
          <w:sz w:val="24"/>
          <w:szCs w:val="24"/>
          <w:lang w:eastAsia="zh-CN"/>
        </w:rPr>
      </w:pPr>
      <w:r>
        <w:rPr>
          <w:rFonts w:hint="eastAsia" w:cs="Times New Roman" w:asciiTheme="minorEastAsia" w:hAnsiTheme="minorEastAsia"/>
          <w:b w:val="0"/>
          <w:bCs w:val="0"/>
          <w:color w:val="auto"/>
          <w:kern w:val="2"/>
          <w:sz w:val="24"/>
          <w:szCs w:val="24"/>
        </w:rPr>
        <w:t>投标人须作出“本单位承诺对本项目招标文件的所有商务条款、项目情况说明及要求所有条款全部响应，无偏离”的承诺，并由法定代表人签字或加盖私章</w:t>
      </w:r>
      <w:r>
        <w:rPr>
          <w:rFonts w:hint="eastAsia" w:cs="Times New Roman" w:asciiTheme="minorEastAsia" w:hAnsiTheme="minorEastAsia"/>
          <w:b w:val="0"/>
          <w:bCs w:val="0"/>
          <w:color w:val="auto"/>
          <w:kern w:val="2"/>
          <w:sz w:val="24"/>
          <w:szCs w:val="24"/>
          <w:lang w:eastAsia="zh-CN"/>
        </w:rPr>
        <w:t>。</w:t>
      </w:r>
    </w:p>
    <w:p>
      <w:pPr>
        <w:spacing w:line="400" w:lineRule="exact"/>
        <w:ind w:firstLine="470" w:firstLineChars="196"/>
        <w:rPr>
          <w:rFonts w:asciiTheme="minorEastAsia" w:hAnsiTheme="minorEastAsia"/>
          <w:color w:val="auto"/>
          <w:kern w:val="32"/>
          <w:sz w:val="24"/>
        </w:rPr>
      </w:pPr>
    </w:p>
    <w:p>
      <w:pPr>
        <w:jc w:val="center"/>
        <w:rPr>
          <w:rFonts w:cs="Tahoma" w:asciiTheme="minorEastAsia" w:hAnsiTheme="minorEastAsia"/>
          <w:b/>
          <w:bCs/>
          <w:color w:val="auto"/>
          <w:kern w:val="32"/>
          <w:sz w:val="32"/>
          <w:szCs w:val="32"/>
        </w:rPr>
      </w:pPr>
      <w:bookmarkStart w:id="123" w:name="_Toc321052843"/>
      <w:r>
        <w:rPr>
          <w:rFonts w:hint="eastAsia" w:cs="Tahoma" w:asciiTheme="minorEastAsia" w:hAnsiTheme="minorEastAsia"/>
          <w:b/>
          <w:bCs/>
          <w:color w:val="auto"/>
          <w:kern w:val="32"/>
          <w:sz w:val="32"/>
          <w:szCs w:val="32"/>
        </w:rPr>
        <w:t>十、投标人需要的其他证明资料</w:t>
      </w:r>
      <w:bookmarkEnd w:id="123"/>
    </w:p>
    <w:p>
      <w:pPr>
        <w:tabs>
          <w:tab w:val="left" w:pos="7920"/>
        </w:tabs>
        <w:spacing w:line="500" w:lineRule="exact"/>
        <w:ind w:left="-94" w:leftChars="-45" w:right="15" w:rightChars="7" w:firstLine="576" w:firstLineChars="240"/>
        <w:rPr>
          <w:rFonts w:asciiTheme="minorEastAsia" w:hAnsiTheme="minorEastAsia"/>
          <w:color w:val="auto"/>
          <w:sz w:val="24"/>
        </w:rPr>
      </w:pPr>
      <w:bookmarkStart w:id="124" w:name="_Toc320518257"/>
      <w:bookmarkStart w:id="125" w:name="_Toc16750"/>
      <w:bookmarkStart w:id="126" w:name="_Toc320887584"/>
      <w:r>
        <w:rPr>
          <w:rFonts w:hint="eastAsia" w:asciiTheme="minorEastAsia" w:hAnsiTheme="minorEastAsia"/>
          <w:color w:val="auto"/>
          <w:sz w:val="24"/>
        </w:rPr>
        <w:t>根据</w:t>
      </w:r>
      <w:r>
        <w:rPr>
          <w:rFonts w:hint="eastAsia" w:asciiTheme="minorEastAsia" w:hAnsiTheme="minorEastAsia"/>
          <w:b/>
          <w:bCs/>
          <w:color w:val="auto"/>
          <w:sz w:val="24"/>
        </w:rPr>
        <w:t>评标办法</w:t>
      </w:r>
      <w:r>
        <w:rPr>
          <w:rFonts w:hint="eastAsia" w:asciiTheme="minorEastAsia" w:hAnsiTheme="minorEastAsia"/>
          <w:color w:val="auto"/>
          <w:sz w:val="24"/>
        </w:rPr>
        <w:t>投标人认为需要提交证明资料复印件，如无则可不提供</w:t>
      </w:r>
      <w:bookmarkEnd w:id="124"/>
      <w:bookmarkEnd w:id="125"/>
      <w:bookmarkEnd w:id="126"/>
      <w:r>
        <w:rPr>
          <w:rFonts w:hint="eastAsia" w:asciiTheme="minorEastAsia" w:hAnsiTheme="minorEastAsia"/>
          <w:color w:val="auto"/>
          <w:sz w:val="24"/>
        </w:rPr>
        <w:t>。</w:t>
      </w:r>
    </w:p>
    <w:p>
      <w:pPr>
        <w:rPr>
          <w:rFonts w:asciiTheme="minorEastAsia" w:hAnsiTheme="minorEastAsia"/>
          <w:color w:val="auto"/>
        </w:rPr>
      </w:pPr>
    </w:p>
    <w:p>
      <w:pPr>
        <w:jc w:val="center"/>
        <w:rPr>
          <w:rFonts w:cs="Tahoma" w:asciiTheme="minorEastAsia" w:hAnsiTheme="minorEastAsia"/>
          <w:b/>
          <w:bCs/>
          <w:color w:val="auto"/>
          <w:kern w:val="32"/>
          <w:sz w:val="32"/>
          <w:szCs w:val="32"/>
        </w:rPr>
      </w:pPr>
      <w:bookmarkStart w:id="127" w:name="_Toc321052844"/>
      <w:r>
        <w:rPr>
          <w:rFonts w:hint="eastAsia" w:cs="Tahoma" w:asciiTheme="minorEastAsia" w:hAnsiTheme="minorEastAsia"/>
          <w:b/>
          <w:bCs/>
          <w:color w:val="auto"/>
          <w:kern w:val="32"/>
          <w:sz w:val="32"/>
          <w:szCs w:val="32"/>
        </w:rPr>
        <w:t>十一、经营管理方案</w:t>
      </w:r>
      <w:bookmarkEnd w:id="120"/>
      <w:bookmarkEnd w:id="127"/>
    </w:p>
    <w:p>
      <w:pPr>
        <w:tabs>
          <w:tab w:val="left" w:pos="7920"/>
        </w:tabs>
        <w:spacing w:line="500" w:lineRule="exact"/>
        <w:ind w:left="-94" w:leftChars="-45" w:right="15" w:rightChars="7" w:firstLine="576" w:firstLineChars="240"/>
        <w:rPr>
          <w:rFonts w:asciiTheme="minorEastAsia" w:hAnsiTheme="minorEastAsia"/>
          <w:color w:val="auto"/>
          <w:sz w:val="24"/>
        </w:rPr>
      </w:pPr>
      <w:r>
        <w:rPr>
          <w:rFonts w:hint="eastAsia" w:asciiTheme="minorEastAsia" w:hAnsiTheme="minorEastAsia"/>
          <w:color w:val="auto"/>
          <w:sz w:val="24"/>
        </w:rPr>
        <w:t>服务方案主要包括不限于：</w:t>
      </w:r>
      <w:r>
        <w:rPr>
          <w:rFonts w:asciiTheme="minorEastAsia" w:hAnsiTheme="minorEastAsia"/>
          <w:color w:val="auto"/>
          <w:sz w:val="24"/>
        </w:rPr>
        <w:t xml:space="preserve"> </w:t>
      </w:r>
    </w:p>
    <w:p>
      <w:pPr>
        <w:tabs>
          <w:tab w:val="left" w:pos="7920"/>
        </w:tabs>
        <w:spacing w:line="500" w:lineRule="exact"/>
        <w:ind w:left="-94" w:leftChars="-45" w:right="15" w:rightChars="7" w:firstLine="576" w:firstLineChars="240"/>
        <w:rPr>
          <w:rFonts w:cs="Times New Roman" w:asciiTheme="minorEastAsia" w:hAnsiTheme="minorEastAsia"/>
          <w:color w:val="auto"/>
          <w:sz w:val="24"/>
        </w:rPr>
      </w:pPr>
      <w:r>
        <w:rPr>
          <w:rFonts w:hint="eastAsia" w:cs="Times New Roman" w:asciiTheme="minorEastAsia" w:hAnsiTheme="minorEastAsia"/>
          <w:color w:val="auto"/>
          <w:sz w:val="24"/>
        </w:rPr>
        <w:t>1、项目实施总体方案；</w:t>
      </w:r>
    </w:p>
    <w:p>
      <w:pPr>
        <w:tabs>
          <w:tab w:val="left" w:pos="7920"/>
        </w:tabs>
        <w:spacing w:line="500" w:lineRule="exact"/>
        <w:ind w:left="-94" w:leftChars="-45" w:right="15" w:rightChars="7" w:firstLine="576" w:firstLineChars="240"/>
        <w:rPr>
          <w:rFonts w:cs="Times New Roman" w:asciiTheme="minorEastAsia" w:hAnsiTheme="minorEastAsia"/>
          <w:color w:val="auto"/>
          <w:sz w:val="24"/>
        </w:rPr>
      </w:pPr>
      <w:r>
        <w:rPr>
          <w:rFonts w:hint="eastAsia" w:cs="Times New Roman" w:asciiTheme="minorEastAsia" w:hAnsiTheme="minorEastAsia"/>
          <w:color w:val="auto"/>
          <w:sz w:val="24"/>
        </w:rPr>
        <w:t>2、运营总体方案；</w:t>
      </w:r>
    </w:p>
    <w:p>
      <w:pPr>
        <w:tabs>
          <w:tab w:val="left" w:pos="7920"/>
        </w:tabs>
        <w:spacing w:line="500" w:lineRule="exact"/>
        <w:ind w:left="-94" w:leftChars="-45" w:right="15" w:rightChars="7" w:firstLine="576" w:firstLineChars="240"/>
        <w:rPr>
          <w:rFonts w:cs="Times New Roman" w:asciiTheme="minorEastAsia" w:hAnsiTheme="minorEastAsia"/>
          <w:color w:val="auto"/>
          <w:sz w:val="24"/>
        </w:rPr>
      </w:pPr>
      <w:r>
        <w:rPr>
          <w:rFonts w:hint="eastAsia" w:cs="Times New Roman" w:asciiTheme="minorEastAsia" w:hAnsiTheme="minorEastAsia"/>
          <w:color w:val="auto"/>
          <w:sz w:val="24"/>
        </w:rPr>
        <w:t>3、保障方案及应急预案；</w:t>
      </w:r>
    </w:p>
    <w:p>
      <w:pPr>
        <w:rPr>
          <w:rFonts w:asciiTheme="minorEastAsia" w:hAnsiTheme="minorEastAsia"/>
          <w:color w:val="auto"/>
        </w:rPr>
      </w:pPr>
    </w:p>
    <w:p>
      <w:pPr>
        <w:pStyle w:val="3"/>
        <w:spacing w:line="360" w:lineRule="auto"/>
        <w:jc w:val="center"/>
        <w:rPr>
          <w:rFonts w:asciiTheme="minorEastAsia" w:hAnsiTheme="minorEastAsia"/>
          <w:color w:val="auto"/>
        </w:rPr>
      </w:pPr>
      <w:r>
        <w:rPr>
          <w:rFonts w:asciiTheme="minorEastAsia" w:hAnsiTheme="minorEastAsia"/>
          <w:color w:val="auto"/>
        </w:rPr>
        <w:tab/>
      </w:r>
      <w:bookmarkStart w:id="128" w:name="_Toc7705_WPSOffice_Level1"/>
      <w:bookmarkStart w:id="129" w:name="_Toc23075_WPSOffice_Level1"/>
      <w:bookmarkStart w:id="130" w:name="_Toc321052846"/>
      <w:bookmarkStart w:id="131" w:name="_Toc21918_WPSOffice_Level1"/>
      <w:r>
        <w:rPr>
          <w:rFonts w:hint="eastAsia" w:asciiTheme="minorEastAsia" w:hAnsiTheme="minorEastAsia"/>
          <w:color w:val="auto"/>
        </w:rPr>
        <w:t>第六章  评标办法</w:t>
      </w:r>
      <w:bookmarkEnd w:id="128"/>
      <w:bookmarkEnd w:id="129"/>
      <w:bookmarkEnd w:id="130"/>
      <w:bookmarkEnd w:id="131"/>
    </w:p>
    <w:p>
      <w:pPr>
        <w:tabs>
          <w:tab w:val="left" w:pos="7920"/>
        </w:tabs>
        <w:spacing w:line="500" w:lineRule="exact"/>
        <w:ind w:right="15" w:rightChars="7"/>
        <w:rPr>
          <w:rFonts w:asciiTheme="minorEastAsia" w:hAnsiTheme="minorEastAsia"/>
          <w:b/>
          <w:color w:val="auto"/>
          <w:sz w:val="24"/>
        </w:rPr>
      </w:pPr>
      <w:bookmarkStart w:id="132" w:name="_Toc321052847"/>
      <w:r>
        <w:rPr>
          <w:rFonts w:hint="eastAsia" w:asciiTheme="minorEastAsia" w:hAnsiTheme="minorEastAsia"/>
          <w:b/>
          <w:color w:val="auto"/>
          <w:kern w:val="32"/>
        </w:rPr>
        <w:t>一</w:t>
      </w:r>
      <w:r>
        <w:rPr>
          <w:rFonts w:hint="eastAsia" w:asciiTheme="minorEastAsia" w:hAnsiTheme="minorEastAsia"/>
          <w:b/>
          <w:color w:val="auto"/>
          <w:sz w:val="24"/>
        </w:rPr>
        <w:t>、</w:t>
      </w:r>
      <w:bookmarkEnd w:id="132"/>
      <w:r>
        <w:rPr>
          <w:rFonts w:hint="eastAsia" w:asciiTheme="minorEastAsia" w:hAnsiTheme="minorEastAsia"/>
          <w:b/>
          <w:color w:val="auto"/>
          <w:sz w:val="24"/>
        </w:rPr>
        <w:t>相关说明</w:t>
      </w:r>
    </w:p>
    <w:p>
      <w:pPr>
        <w:adjustRightInd w:val="0"/>
        <w:snapToGrid w:val="0"/>
        <w:spacing w:line="360" w:lineRule="auto"/>
        <w:rPr>
          <w:rFonts w:asciiTheme="minorEastAsia" w:hAnsiTheme="minorEastAsia"/>
          <w:color w:val="auto"/>
          <w:sz w:val="24"/>
        </w:rPr>
      </w:pPr>
      <w:r>
        <w:rPr>
          <w:rFonts w:hint="eastAsia" w:asciiTheme="minorEastAsia" w:hAnsiTheme="minorEastAsia"/>
          <w:color w:val="auto"/>
          <w:sz w:val="24"/>
        </w:rPr>
        <w:t>本次招标评标采用综合评估法；评分的主要因素是：</w:t>
      </w:r>
      <w:r>
        <w:rPr>
          <w:rFonts w:hint="eastAsia" w:asciiTheme="minorEastAsia" w:hAnsiTheme="minorEastAsia"/>
          <w:color w:val="auto"/>
          <w:sz w:val="24"/>
          <w:lang w:eastAsia="zh-CN"/>
        </w:rPr>
        <w:t>投标价格、运营管理及营销</w:t>
      </w:r>
      <w:r>
        <w:rPr>
          <w:rFonts w:hint="eastAsia" w:asciiTheme="minorEastAsia" w:hAnsiTheme="minorEastAsia"/>
          <w:color w:val="auto"/>
          <w:sz w:val="24"/>
        </w:rPr>
        <w:t>方案。具体评审标准</w:t>
      </w:r>
      <w:r>
        <w:rPr>
          <w:rFonts w:hint="eastAsia" w:asciiTheme="minorEastAsia" w:hAnsiTheme="minorEastAsia"/>
          <w:color w:val="auto"/>
          <w:sz w:val="24"/>
          <w:lang w:eastAsia="zh-CN"/>
        </w:rPr>
        <w:t>评标原则</w:t>
      </w:r>
      <w:r>
        <w:rPr>
          <w:rFonts w:hint="eastAsia" w:asciiTheme="minorEastAsia" w:hAnsiTheme="minorEastAsia"/>
          <w:color w:val="auto"/>
          <w:sz w:val="24"/>
        </w:rPr>
        <w:t>。</w:t>
      </w:r>
    </w:p>
    <w:p>
      <w:pPr>
        <w:tabs>
          <w:tab w:val="left" w:pos="7920"/>
        </w:tabs>
        <w:spacing w:line="500" w:lineRule="exact"/>
        <w:ind w:right="15" w:rightChars="7"/>
        <w:rPr>
          <w:rFonts w:asciiTheme="minorEastAsia" w:hAnsiTheme="minorEastAsia"/>
          <w:b/>
          <w:color w:val="auto"/>
          <w:kern w:val="32"/>
          <w:sz w:val="24"/>
        </w:rPr>
      </w:pPr>
      <w:r>
        <w:rPr>
          <w:rFonts w:hint="eastAsia" w:asciiTheme="minorEastAsia" w:hAnsiTheme="minorEastAsia"/>
          <w:b/>
          <w:color w:val="auto"/>
          <w:kern w:val="32"/>
          <w:sz w:val="24"/>
        </w:rPr>
        <w:t>二、评标程序</w:t>
      </w:r>
    </w:p>
    <w:p>
      <w:pPr>
        <w:tabs>
          <w:tab w:val="left" w:pos="7920"/>
        </w:tabs>
        <w:spacing w:line="500" w:lineRule="exact"/>
        <w:ind w:right="15" w:rightChars="7"/>
        <w:rPr>
          <w:rFonts w:asciiTheme="minorEastAsia" w:hAnsiTheme="minorEastAsia"/>
          <w:b/>
          <w:color w:val="auto"/>
          <w:kern w:val="32"/>
          <w:sz w:val="24"/>
          <w:lang w:bidi="en-US"/>
        </w:rPr>
      </w:pPr>
      <w:r>
        <w:rPr>
          <w:rFonts w:hint="eastAsia" w:asciiTheme="minorEastAsia" w:hAnsiTheme="minorEastAsia"/>
          <w:color w:val="auto"/>
          <w:kern w:val="32"/>
          <w:sz w:val="24"/>
        </w:rPr>
        <w:t xml:space="preserve">   </w:t>
      </w:r>
      <w:r>
        <w:rPr>
          <w:rFonts w:hint="eastAsia" w:asciiTheme="minorEastAsia" w:hAnsiTheme="minorEastAsia"/>
          <w:b/>
          <w:color w:val="auto"/>
          <w:kern w:val="32"/>
          <w:sz w:val="24"/>
        </w:rPr>
        <w:t>1、</w:t>
      </w:r>
      <w:r>
        <w:rPr>
          <w:rFonts w:hint="eastAsia" w:asciiTheme="minorEastAsia" w:hAnsiTheme="minorEastAsia"/>
          <w:b/>
          <w:color w:val="auto"/>
          <w:kern w:val="32"/>
          <w:sz w:val="24"/>
          <w:lang w:bidi="en-US"/>
        </w:rPr>
        <w:t>初步评审</w:t>
      </w:r>
    </w:p>
    <w:p>
      <w:pPr>
        <w:tabs>
          <w:tab w:val="left" w:pos="7920"/>
        </w:tabs>
        <w:spacing w:line="500" w:lineRule="exact"/>
        <w:ind w:left="-94" w:leftChars="-45" w:right="15" w:rightChars="7" w:firstLine="576" w:firstLineChars="240"/>
        <w:rPr>
          <w:rFonts w:asciiTheme="minorEastAsia" w:hAnsiTheme="minorEastAsia"/>
          <w:color w:val="auto"/>
          <w:sz w:val="24"/>
        </w:rPr>
      </w:pPr>
      <w:r>
        <w:rPr>
          <w:rFonts w:hint="eastAsia" w:asciiTheme="minorEastAsia" w:hAnsiTheme="minorEastAsia"/>
          <w:color w:val="auto"/>
          <w:sz w:val="24"/>
        </w:rPr>
        <w:t>（一）</w:t>
      </w:r>
      <w:r>
        <w:rPr>
          <w:rFonts w:asciiTheme="minorEastAsia" w:hAnsiTheme="minorEastAsia"/>
          <w:color w:val="auto"/>
          <w:sz w:val="24"/>
        </w:rPr>
        <w:t>符合性</w:t>
      </w:r>
      <w:r>
        <w:rPr>
          <w:rFonts w:hint="eastAsia" w:asciiTheme="minorEastAsia" w:hAnsiTheme="minorEastAsia"/>
          <w:color w:val="auto"/>
          <w:sz w:val="24"/>
        </w:rPr>
        <w:t>审查，</w:t>
      </w:r>
      <w:r>
        <w:rPr>
          <w:rFonts w:asciiTheme="minorEastAsia" w:hAnsiTheme="minorEastAsia"/>
          <w:color w:val="auto"/>
          <w:sz w:val="24"/>
        </w:rPr>
        <w:t>确定</w:t>
      </w:r>
      <w:r>
        <w:rPr>
          <w:rFonts w:hint="eastAsia" w:asciiTheme="minorEastAsia" w:hAnsiTheme="minorEastAsia"/>
          <w:color w:val="auto"/>
          <w:sz w:val="24"/>
        </w:rPr>
        <w:t>投标人</w:t>
      </w:r>
      <w:r>
        <w:rPr>
          <w:rFonts w:asciiTheme="minorEastAsia" w:hAnsiTheme="minorEastAsia"/>
          <w:color w:val="auto"/>
          <w:sz w:val="24"/>
        </w:rPr>
        <w:t>是否对</w:t>
      </w:r>
      <w:r>
        <w:rPr>
          <w:rFonts w:hint="eastAsia" w:asciiTheme="minorEastAsia" w:hAnsiTheme="minorEastAsia"/>
          <w:color w:val="auto"/>
          <w:sz w:val="24"/>
        </w:rPr>
        <w:t>本</w:t>
      </w:r>
      <w:r>
        <w:rPr>
          <w:rFonts w:asciiTheme="minorEastAsia" w:hAnsiTheme="minorEastAsia"/>
          <w:color w:val="auto"/>
          <w:sz w:val="24"/>
        </w:rPr>
        <w:t>文件的实质性要求作出响应</w:t>
      </w:r>
      <w:r>
        <w:rPr>
          <w:rFonts w:hint="eastAsia" w:asciiTheme="minorEastAsia" w:hAnsiTheme="minorEastAsia"/>
          <w:color w:val="auto"/>
          <w:sz w:val="24"/>
        </w:rPr>
        <w:t>，实质性响应是指对本文件的规定，没有重大偏离或保留。非实质性响应的投标人将被拒绝。重大偏离或保留是指将会影响到本文件中标的清单及技术要求，或限制了招标人权力和投标人义务的规定，而纠正这些偏离将影响到其他投标人的公平竞争地位。</w:t>
      </w:r>
    </w:p>
    <w:p>
      <w:pPr>
        <w:tabs>
          <w:tab w:val="left" w:pos="7920"/>
        </w:tabs>
        <w:spacing w:line="500" w:lineRule="exact"/>
        <w:ind w:left="-94" w:leftChars="-45" w:right="15" w:rightChars="7" w:firstLine="576" w:firstLineChars="240"/>
        <w:rPr>
          <w:rFonts w:asciiTheme="minorEastAsia" w:hAnsiTheme="minorEastAsia"/>
          <w:color w:val="auto"/>
          <w:sz w:val="24"/>
        </w:rPr>
      </w:pPr>
      <w:r>
        <w:rPr>
          <w:rFonts w:hint="eastAsia" w:asciiTheme="minorEastAsia" w:hAnsiTheme="minorEastAsia"/>
          <w:color w:val="auto"/>
          <w:sz w:val="24"/>
        </w:rPr>
        <w:t>（二）投标人有下列情形之一的，视为无效投标：</w:t>
      </w:r>
    </w:p>
    <w:p>
      <w:pPr>
        <w:tabs>
          <w:tab w:val="left" w:pos="7920"/>
        </w:tabs>
        <w:spacing w:line="500" w:lineRule="exact"/>
        <w:ind w:left="-94" w:leftChars="-45" w:right="15" w:rightChars="7" w:firstLine="576" w:firstLineChars="240"/>
        <w:rPr>
          <w:rFonts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z w:val="24"/>
          <w:lang w:val="en-US" w:eastAsia="zh-CN"/>
        </w:rPr>
        <w:t>1</w:t>
      </w:r>
      <w:r>
        <w:rPr>
          <w:rFonts w:hint="eastAsia" w:asciiTheme="minorEastAsia" w:hAnsiTheme="minorEastAsia"/>
          <w:color w:val="auto"/>
          <w:sz w:val="24"/>
        </w:rPr>
        <w:t>）投标文件与事实不符的；</w:t>
      </w:r>
    </w:p>
    <w:p>
      <w:pPr>
        <w:tabs>
          <w:tab w:val="left" w:pos="7920"/>
        </w:tabs>
        <w:spacing w:line="500" w:lineRule="exact"/>
        <w:ind w:left="-94" w:leftChars="-45" w:right="15" w:rightChars="7" w:firstLine="576" w:firstLineChars="240"/>
        <w:rPr>
          <w:rFonts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z w:val="24"/>
          <w:lang w:val="en-US" w:eastAsia="zh-CN"/>
        </w:rPr>
        <w:t>2</w:t>
      </w:r>
      <w:r>
        <w:rPr>
          <w:rFonts w:hint="eastAsia" w:asciiTheme="minorEastAsia" w:hAnsiTheme="minorEastAsia"/>
          <w:color w:val="auto"/>
          <w:sz w:val="24"/>
        </w:rPr>
        <w:t>）经评标小组一致认定为重大偏离的；</w:t>
      </w:r>
    </w:p>
    <w:p>
      <w:pPr>
        <w:tabs>
          <w:tab w:val="left" w:pos="7920"/>
        </w:tabs>
        <w:spacing w:line="500" w:lineRule="exact"/>
        <w:ind w:left="-94" w:leftChars="-45" w:right="15" w:rightChars="7" w:firstLine="576" w:firstLineChars="240"/>
        <w:rPr>
          <w:rFonts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z w:val="24"/>
          <w:lang w:val="en-US" w:eastAsia="zh-CN"/>
        </w:rPr>
        <w:t>3</w:t>
      </w:r>
      <w:r>
        <w:rPr>
          <w:rFonts w:hint="eastAsia" w:asciiTheme="minorEastAsia" w:hAnsiTheme="minorEastAsia"/>
          <w:color w:val="auto"/>
          <w:sz w:val="24"/>
        </w:rPr>
        <w:t>）不符合本招标文件中规定的其他实质性要求的；</w:t>
      </w:r>
    </w:p>
    <w:p>
      <w:pPr>
        <w:tabs>
          <w:tab w:val="left" w:pos="7920"/>
        </w:tabs>
        <w:spacing w:line="500" w:lineRule="exact"/>
        <w:ind w:left="-94" w:leftChars="-45" w:right="15" w:rightChars="7" w:firstLine="576" w:firstLineChars="240"/>
        <w:rPr>
          <w:rFonts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z w:val="24"/>
          <w:lang w:val="en-US" w:eastAsia="zh-CN"/>
        </w:rPr>
        <w:t>4</w:t>
      </w:r>
      <w:r>
        <w:rPr>
          <w:rFonts w:hint="eastAsia" w:asciiTheme="minorEastAsia" w:hAnsiTheme="minorEastAsia"/>
          <w:color w:val="auto"/>
          <w:sz w:val="24"/>
        </w:rPr>
        <w:t>）投标文件未按要求签字或盖章的；</w:t>
      </w:r>
    </w:p>
    <w:p>
      <w:pPr>
        <w:tabs>
          <w:tab w:val="left" w:pos="7920"/>
        </w:tabs>
        <w:spacing w:line="500" w:lineRule="exact"/>
        <w:ind w:left="-94" w:leftChars="-45" w:right="15" w:rightChars="7" w:firstLine="576" w:firstLineChars="240"/>
        <w:rPr>
          <w:rFonts w:asciiTheme="minorEastAsia" w:hAnsiTheme="minorEastAsia"/>
          <w:color w:val="auto"/>
          <w:sz w:val="24"/>
        </w:rPr>
      </w:pPr>
      <w:r>
        <w:rPr>
          <w:rFonts w:hint="eastAsia" w:asciiTheme="minorEastAsia" w:hAnsiTheme="minorEastAsia"/>
          <w:color w:val="auto"/>
          <w:sz w:val="24"/>
        </w:rPr>
        <w:t>（</w:t>
      </w:r>
      <w:r>
        <w:rPr>
          <w:rFonts w:hint="eastAsia" w:asciiTheme="minorEastAsia" w:hAnsiTheme="minorEastAsia"/>
          <w:color w:val="auto"/>
          <w:sz w:val="24"/>
          <w:lang w:val="en-US" w:eastAsia="zh-CN"/>
        </w:rPr>
        <w:t>5</w:t>
      </w:r>
      <w:r>
        <w:rPr>
          <w:rFonts w:hint="eastAsia" w:asciiTheme="minorEastAsia" w:hAnsiTheme="minorEastAsia"/>
          <w:color w:val="auto"/>
          <w:sz w:val="24"/>
        </w:rPr>
        <w:t>）不符合法律、法规有关规定的。</w:t>
      </w:r>
    </w:p>
    <w:p>
      <w:pPr>
        <w:tabs>
          <w:tab w:val="left" w:pos="7920"/>
        </w:tabs>
        <w:spacing w:line="500" w:lineRule="exact"/>
        <w:ind w:left="-94" w:leftChars="-45" w:right="15" w:rightChars="7" w:firstLine="576" w:firstLineChars="240"/>
        <w:rPr>
          <w:rFonts w:asciiTheme="minorEastAsia" w:hAnsiTheme="minorEastAsia"/>
          <w:color w:val="auto"/>
          <w:sz w:val="24"/>
        </w:rPr>
      </w:pPr>
      <w:r>
        <w:rPr>
          <w:rFonts w:hint="eastAsia" w:asciiTheme="minorEastAsia" w:hAnsiTheme="minorEastAsia"/>
          <w:color w:val="auto"/>
          <w:sz w:val="24"/>
        </w:rPr>
        <w:t>（三）出现下列情形之一的，本项目作废标处理，重新组织招标：</w:t>
      </w:r>
    </w:p>
    <w:p>
      <w:pPr>
        <w:tabs>
          <w:tab w:val="left" w:pos="7920"/>
        </w:tabs>
        <w:spacing w:line="500" w:lineRule="exact"/>
        <w:ind w:left="-94" w:leftChars="-45" w:right="15" w:rightChars="7" w:firstLine="576" w:firstLineChars="240"/>
        <w:rPr>
          <w:rFonts w:asciiTheme="minorEastAsia" w:hAnsiTheme="minorEastAsia"/>
          <w:color w:val="auto"/>
          <w:sz w:val="24"/>
        </w:rPr>
      </w:pPr>
      <w:r>
        <w:rPr>
          <w:rFonts w:hint="eastAsia" w:asciiTheme="minorEastAsia" w:hAnsiTheme="minorEastAsia"/>
          <w:color w:val="auto"/>
          <w:sz w:val="24"/>
        </w:rPr>
        <w:t xml:space="preserve"> 符合条件的投标人或者对招标文件作实质响应的投标人不足三家的且评标小组认为不具备竞争性的；</w:t>
      </w:r>
    </w:p>
    <w:p>
      <w:pPr>
        <w:tabs>
          <w:tab w:val="left" w:pos="7920"/>
        </w:tabs>
        <w:spacing w:line="500" w:lineRule="exact"/>
        <w:ind w:left="-94" w:leftChars="-45" w:right="15" w:rightChars="7" w:firstLine="576" w:firstLineChars="240"/>
        <w:rPr>
          <w:rFonts w:asciiTheme="minorEastAsia" w:hAnsiTheme="minorEastAsia"/>
          <w:color w:val="auto"/>
          <w:sz w:val="24"/>
        </w:rPr>
      </w:pPr>
      <w:r>
        <w:rPr>
          <w:rFonts w:hint="eastAsia" w:asciiTheme="minorEastAsia" w:hAnsiTheme="minorEastAsia"/>
          <w:color w:val="auto"/>
          <w:sz w:val="24"/>
        </w:rPr>
        <w:t>（四）对符合性审查合格的投标人进行咨询与答复。</w:t>
      </w:r>
    </w:p>
    <w:p>
      <w:pPr>
        <w:tabs>
          <w:tab w:val="left" w:pos="7920"/>
        </w:tabs>
        <w:spacing w:line="500" w:lineRule="exact"/>
        <w:ind w:left="-94" w:leftChars="-45" w:right="15" w:rightChars="7" w:firstLine="576" w:firstLineChars="240"/>
        <w:rPr>
          <w:rFonts w:asciiTheme="minorEastAsia" w:hAnsiTheme="minorEastAsia"/>
          <w:color w:val="auto"/>
          <w:sz w:val="24"/>
        </w:rPr>
      </w:pPr>
      <w:r>
        <w:rPr>
          <w:rFonts w:hint="eastAsia" w:asciiTheme="minorEastAsia" w:hAnsiTheme="minorEastAsia"/>
          <w:color w:val="auto"/>
          <w:sz w:val="24"/>
        </w:rPr>
        <w:t>（1）对投标文件中含义不明确、同类问题表述不一致或者有明显文字和计算错误的内容。</w:t>
      </w:r>
    </w:p>
    <w:p>
      <w:pPr>
        <w:tabs>
          <w:tab w:val="left" w:pos="7920"/>
        </w:tabs>
        <w:spacing w:line="500" w:lineRule="exact"/>
        <w:ind w:left="-94" w:leftChars="-45" w:right="15" w:rightChars="7" w:firstLine="576" w:firstLineChars="240"/>
        <w:rPr>
          <w:rFonts w:asciiTheme="minorEastAsia" w:hAnsiTheme="minorEastAsia"/>
          <w:color w:val="auto"/>
          <w:sz w:val="24"/>
        </w:rPr>
      </w:pPr>
      <w:r>
        <w:rPr>
          <w:rFonts w:hint="eastAsia" w:asciiTheme="minorEastAsia" w:hAnsiTheme="minorEastAsia"/>
          <w:color w:val="auto"/>
          <w:sz w:val="24"/>
        </w:rPr>
        <w:t>（2）投标人对咨询事项作出书面答复，按规定时间报评标小组。投标人的答复不得超出投标书的范围或者改变投标书的实质性内容。</w:t>
      </w:r>
    </w:p>
    <w:p>
      <w:pPr>
        <w:tabs>
          <w:tab w:val="left" w:pos="7920"/>
        </w:tabs>
        <w:spacing w:line="500" w:lineRule="exact"/>
        <w:ind w:right="15" w:rightChars="7" w:firstLine="472" w:firstLineChars="196"/>
        <w:rPr>
          <w:rFonts w:asciiTheme="minorEastAsia" w:hAnsiTheme="minorEastAsia"/>
          <w:b/>
          <w:color w:val="auto"/>
          <w:kern w:val="32"/>
          <w:sz w:val="24"/>
        </w:rPr>
      </w:pPr>
      <w:r>
        <w:rPr>
          <w:rFonts w:hint="eastAsia" w:asciiTheme="minorEastAsia" w:hAnsiTheme="minorEastAsia"/>
          <w:b/>
          <w:color w:val="auto"/>
          <w:kern w:val="32"/>
          <w:sz w:val="24"/>
        </w:rPr>
        <w:t>2、详细评审</w:t>
      </w:r>
    </w:p>
    <w:p>
      <w:pPr>
        <w:tabs>
          <w:tab w:val="left" w:pos="7920"/>
        </w:tabs>
        <w:spacing w:line="500" w:lineRule="exact"/>
        <w:ind w:right="15" w:rightChars="7" w:firstLine="480" w:firstLineChars="200"/>
        <w:rPr>
          <w:rFonts w:asciiTheme="minorEastAsia" w:hAnsiTheme="minorEastAsia"/>
          <w:color w:val="auto"/>
          <w:kern w:val="32"/>
          <w:sz w:val="24"/>
          <w:lang w:bidi="en-US"/>
        </w:rPr>
      </w:pPr>
      <w:r>
        <w:rPr>
          <w:rFonts w:hint="eastAsia" w:asciiTheme="minorEastAsia" w:hAnsiTheme="minorEastAsia"/>
          <w:color w:val="auto"/>
          <w:kern w:val="32"/>
          <w:sz w:val="24"/>
          <w:lang w:bidi="en-US"/>
        </w:rPr>
        <w:t>2.1评标小组按照评标办法规定的量化因素和分值进行打分，并计算出综合评估得分。</w:t>
      </w:r>
    </w:p>
    <w:p>
      <w:pPr>
        <w:tabs>
          <w:tab w:val="left" w:pos="7920"/>
        </w:tabs>
        <w:spacing w:line="500" w:lineRule="exact"/>
        <w:ind w:right="15" w:rightChars="7" w:firstLine="480" w:firstLineChars="200"/>
        <w:rPr>
          <w:rFonts w:asciiTheme="minorEastAsia" w:hAnsiTheme="minorEastAsia"/>
          <w:color w:val="auto"/>
          <w:kern w:val="32"/>
          <w:sz w:val="24"/>
        </w:rPr>
      </w:pPr>
      <w:r>
        <w:rPr>
          <w:rFonts w:hint="eastAsia" w:asciiTheme="minorEastAsia" w:hAnsiTheme="minorEastAsia"/>
          <w:color w:val="auto"/>
          <w:kern w:val="32"/>
          <w:sz w:val="24"/>
          <w:lang w:bidi="en-US"/>
        </w:rPr>
        <w:t>2.2评分分值计算保留小数点后两位，小数点后第三位“四舍五入”。</w:t>
      </w:r>
    </w:p>
    <w:p>
      <w:pPr>
        <w:tabs>
          <w:tab w:val="left" w:pos="7920"/>
        </w:tabs>
        <w:spacing w:line="500" w:lineRule="exact"/>
        <w:ind w:right="15" w:rightChars="7" w:firstLine="482" w:firstLineChars="200"/>
        <w:rPr>
          <w:rFonts w:cs="Tahoma" w:asciiTheme="minorEastAsia" w:hAnsiTheme="minorEastAsia"/>
          <w:b/>
          <w:bCs/>
          <w:color w:val="auto"/>
          <w:kern w:val="32"/>
          <w:sz w:val="24"/>
          <w:lang w:bidi="en-US"/>
        </w:rPr>
      </w:pPr>
      <w:r>
        <w:rPr>
          <w:rFonts w:hint="eastAsia" w:cs="Tahoma" w:asciiTheme="minorEastAsia" w:hAnsiTheme="minorEastAsia"/>
          <w:b/>
          <w:bCs/>
          <w:color w:val="auto"/>
          <w:kern w:val="32"/>
          <w:sz w:val="24"/>
          <w:lang w:bidi="en-US"/>
        </w:rPr>
        <w:t>3、投标文件的澄清、说明或补正</w:t>
      </w:r>
    </w:p>
    <w:p>
      <w:pPr>
        <w:tabs>
          <w:tab w:val="left" w:pos="7920"/>
        </w:tabs>
        <w:spacing w:line="500" w:lineRule="exact"/>
        <w:ind w:left="-94" w:leftChars="-45" w:right="15" w:rightChars="7" w:firstLine="576" w:firstLineChars="240"/>
        <w:rPr>
          <w:rFonts w:cs="Tahoma" w:asciiTheme="minorEastAsia" w:hAnsiTheme="minorEastAsia"/>
          <w:bCs/>
          <w:color w:val="auto"/>
          <w:kern w:val="32"/>
          <w:sz w:val="24"/>
          <w:lang w:bidi="en-US"/>
        </w:rPr>
      </w:pPr>
      <w:r>
        <w:rPr>
          <w:rFonts w:hint="eastAsia" w:cs="Tahoma" w:asciiTheme="minorEastAsia" w:hAnsiTheme="minorEastAsia"/>
          <w:bCs/>
          <w:color w:val="auto"/>
          <w:kern w:val="32"/>
          <w:sz w:val="24"/>
          <w:lang w:bidi="en-US"/>
        </w:rPr>
        <w:t>3.1 在评标过程中，评标小组可以书面形式要求投标人对所提交投标文件中不明确的内容进行书面澄清或说明，或者对细微偏差进行补正。评标小组不接受投标人主动提出的澄清、说明或补正。</w:t>
      </w:r>
    </w:p>
    <w:p>
      <w:pPr>
        <w:tabs>
          <w:tab w:val="left" w:pos="7920"/>
        </w:tabs>
        <w:spacing w:line="500" w:lineRule="exact"/>
        <w:ind w:left="-94" w:leftChars="-45" w:right="15" w:rightChars="7" w:firstLine="576" w:firstLineChars="240"/>
        <w:rPr>
          <w:rFonts w:cs="Tahoma" w:asciiTheme="minorEastAsia" w:hAnsiTheme="minorEastAsia"/>
          <w:bCs/>
          <w:color w:val="auto"/>
          <w:kern w:val="32"/>
          <w:sz w:val="24"/>
          <w:lang w:bidi="en-US"/>
        </w:rPr>
      </w:pPr>
      <w:r>
        <w:rPr>
          <w:rFonts w:hint="eastAsia" w:cs="Tahoma" w:asciiTheme="minorEastAsia" w:hAnsiTheme="minorEastAsia"/>
          <w:bCs/>
          <w:color w:val="auto"/>
          <w:kern w:val="32"/>
          <w:sz w:val="24"/>
          <w:lang w:bidi="en-US"/>
        </w:rPr>
        <w:t>3.2 澄清、说明和补正不得改变投标文件的实质性内容（算术性错误修正的除外）。投标人的书面澄清、说明和补正属于投标文件的组成部分。</w:t>
      </w:r>
    </w:p>
    <w:p>
      <w:pPr>
        <w:tabs>
          <w:tab w:val="left" w:pos="7920"/>
        </w:tabs>
        <w:spacing w:line="500" w:lineRule="exact"/>
        <w:ind w:right="15" w:rightChars="7" w:firstLine="480" w:firstLineChars="200"/>
        <w:rPr>
          <w:rFonts w:asciiTheme="minorEastAsia" w:hAnsiTheme="minorEastAsia"/>
          <w:color w:val="auto"/>
          <w:kern w:val="32"/>
          <w:sz w:val="24"/>
          <w:lang w:bidi="en-US"/>
        </w:rPr>
      </w:pPr>
      <w:r>
        <w:rPr>
          <w:rFonts w:hint="eastAsia" w:asciiTheme="minorEastAsia" w:hAnsiTheme="minorEastAsia"/>
          <w:color w:val="auto"/>
          <w:kern w:val="32"/>
          <w:sz w:val="24"/>
          <w:lang w:bidi="en-US"/>
        </w:rPr>
        <w:t>3.3 评标小组对投标人提交的澄清、说明或补正有疑问的，可以要求投标人进一步澄清、说明或补正，直至满足评标小组的要求。</w:t>
      </w:r>
    </w:p>
    <w:p>
      <w:pPr>
        <w:tabs>
          <w:tab w:val="left" w:pos="7920"/>
        </w:tabs>
        <w:spacing w:line="500" w:lineRule="exact"/>
        <w:ind w:right="15" w:rightChars="7" w:firstLine="482" w:firstLineChars="200"/>
        <w:rPr>
          <w:rFonts w:asciiTheme="minorEastAsia" w:hAnsiTheme="minorEastAsia"/>
          <w:b/>
          <w:color w:val="auto"/>
          <w:kern w:val="32"/>
          <w:sz w:val="24"/>
          <w:lang w:bidi="en-US"/>
        </w:rPr>
      </w:pPr>
      <w:r>
        <w:rPr>
          <w:rFonts w:hint="eastAsia" w:asciiTheme="minorEastAsia" w:hAnsiTheme="minorEastAsia"/>
          <w:b/>
          <w:color w:val="auto"/>
          <w:kern w:val="32"/>
          <w:sz w:val="24"/>
          <w:lang w:bidi="en-US"/>
        </w:rPr>
        <w:t>4、评标结果</w:t>
      </w:r>
    </w:p>
    <w:p>
      <w:pPr>
        <w:tabs>
          <w:tab w:val="left" w:pos="7920"/>
        </w:tabs>
        <w:spacing w:line="500" w:lineRule="exact"/>
        <w:ind w:right="15" w:rightChars="7" w:firstLine="480" w:firstLineChars="200"/>
        <w:rPr>
          <w:rFonts w:asciiTheme="minorEastAsia" w:hAnsiTheme="minorEastAsia" w:cstheme="minorEastAsia"/>
          <w:color w:val="auto"/>
          <w:kern w:val="32"/>
          <w:sz w:val="24"/>
          <w:lang w:bidi="en-US"/>
        </w:rPr>
      </w:pPr>
      <w:r>
        <w:rPr>
          <w:rFonts w:hint="eastAsia" w:asciiTheme="minorEastAsia" w:hAnsiTheme="minorEastAsia" w:cstheme="minorEastAsia"/>
          <w:color w:val="auto"/>
          <w:kern w:val="32"/>
          <w:sz w:val="24"/>
          <w:lang w:bidi="en-US"/>
        </w:rPr>
        <w:t>评标小组应当根据详细评审的结果对投标人进行排序，由评标小组推荐中标候选人，按照投标人排序推荐1-3 名中标候选人，并向招标人提交书面评标报告。</w:t>
      </w:r>
    </w:p>
    <w:p>
      <w:pPr>
        <w:spacing w:line="520" w:lineRule="exact"/>
        <w:ind w:firstLine="482" w:firstLineChars="200"/>
        <w:rPr>
          <w:rFonts w:asciiTheme="minorEastAsia" w:hAnsiTheme="minorEastAsia" w:cstheme="minorEastAsia"/>
          <w:b/>
          <w:bCs/>
          <w:color w:val="auto"/>
          <w:sz w:val="24"/>
        </w:rPr>
      </w:pPr>
      <w:r>
        <w:rPr>
          <w:rFonts w:hint="eastAsia" w:asciiTheme="minorEastAsia" w:hAnsiTheme="minorEastAsia" w:cstheme="minorEastAsia"/>
          <w:b/>
          <w:bCs/>
          <w:color w:val="auto"/>
          <w:sz w:val="24"/>
        </w:rPr>
        <w:t>5、投标风险及履约保证金</w:t>
      </w:r>
    </w:p>
    <w:p>
      <w:pPr>
        <w:spacing w:line="520" w:lineRule="exact"/>
        <w:ind w:firstLine="580"/>
        <w:rPr>
          <w:rFonts w:asciiTheme="minorEastAsia" w:hAnsiTheme="minorEastAsia" w:cstheme="minorEastAsia"/>
          <w:color w:val="auto"/>
          <w:sz w:val="24"/>
        </w:rPr>
      </w:pPr>
      <w:r>
        <w:rPr>
          <w:rFonts w:hint="eastAsia" w:asciiTheme="minorEastAsia" w:hAnsiTheme="minorEastAsia" w:cstheme="minorEastAsia"/>
          <w:color w:val="auto"/>
          <w:sz w:val="24"/>
        </w:rPr>
        <w:t>1.投标人应充分考虑到物价起伏等因素造成的投资成本增加后果。</w:t>
      </w:r>
    </w:p>
    <w:p>
      <w:pPr>
        <w:spacing w:line="520" w:lineRule="exact"/>
        <w:rPr>
          <w:rFonts w:asciiTheme="minorEastAsia" w:hAnsiTheme="minorEastAsia" w:cstheme="minorEastAsia"/>
          <w:color w:val="auto"/>
          <w:sz w:val="24"/>
        </w:rPr>
      </w:pPr>
      <w:r>
        <w:rPr>
          <w:rFonts w:hint="eastAsia" w:asciiTheme="minorEastAsia" w:hAnsiTheme="minorEastAsia" w:cstheme="minorEastAsia"/>
          <w:color w:val="auto"/>
          <w:sz w:val="24"/>
        </w:rPr>
        <w:t>　　</w:t>
      </w:r>
      <w:r>
        <w:rPr>
          <w:rFonts w:hint="eastAsia" w:asciiTheme="minorEastAsia" w:hAnsiTheme="minorEastAsia" w:cstheme="minorEastAsia"/>
          <w:color w:val="auto"/>
          <w:sz w:val="24"/>
          <w:lang w:val="en-US" w:eastAsia="zh-CN"/>
        </w:rPr>
        <w:t>2.</w:t>
      </w:r>
      <w:r>
        <w:rPr>
          <w:rFonts w:hint="eastAsia" w:asciiTheme="minorEastAsia" w:hAnsiTheme="minorEastAsia" w:cstheme="minorEastAsia"/>
          <w:color w:val="auto"/>
          <w:sz w:val="24"/>
        </w:rPr>
        <w:t>中标后，7日内签订合同，并按合同约定交纳履约保证金二十万元，在合同期满后或经营终止时两个月内无息退还。</w:t>
      </w:r>
    </w:p>
    <w:p>
      <w:pPr>
        <w:spacing w:line="520" w:lineRule="exact"/>
        <w:ind w:firstLine="480" w:firstLineChars="200"/>
        <w:rPr>
          <w:rFonts w:hint="eastAsia" w:asciiTheme="minorEastAsia" w:hAnsiTheme="minorEastAsia" w:cstheme="minorEastAsia"/>
          <w:color w:val="auto"/>
          <w:sz w:val="24"/>
        </w:rPr>
      </w:pPr>
      <w:r>
        <w:rPr>
          <w:rFonts w:hint="eastAsia" w:asciiTheme="minorEastAsia" w:hAnsiTheme="minorEastAsia" w:cstheme="minorEastAsia"/>
          <w:color w:val="auto"/>
          <w:sz w:val="24"/>
          <w:lang w:val="en-US" w:eastAsia="zh-CN"/>
        </w:rPr>
        <w:t>3</w:t>
      </w:r>
      <w:r>
        <w:rPr>
          <w:rFonts w:hint="eastAsia" w:asciiTheme="minorEastAsia" w:hAnsiTheme="minorEastAsia" w:cstheme="minorEastAsia"/>
          <w:color w:val="auto"/>
          <w:sz w:val="24"/>
        </w:rPr>
        <w:t>.履约保证金使用：用于经营者违反《食品卫生法》、违反甲方有关规定，没有按合同经营至期满、承包期内不正常营业、协义期内擅自分包或转包他人，给甲方和客户造成各种损失的补偿。承包者在承包期内若无上述现象，合同期满后，若无不良记录，其履约保证金无息如数退还。</w:t>
      </w:r>
    </w:p>
    <w:p>
      <w:pPr>
        <w:spacing w:line="520" w:lineRule="exact"/>
        <w:rPr>
          <w:rFonts w:hint="eastAsia" w:asciiTheme="minorEastAsia" w:hAnsiTheme="minorEastAsia" w:cstheme="minorEastAsia"/>
          <w:b/>
          <w:bCs/>
          <w:color w:val="auto"/>
          <w:sz w:val="24"/>
        </w:rPr>
      </w:pPr>
    </w:p>
    <w:p>
      <w:pPr>
        <w:spacing w:line="520" w:lineRule="exact"/>
        <w:rPr>
          <w:rFonts w:hint="eastAsia" w:asciiTheme="minorEastAsia" w:hAnsiTheme="minorEastAsia" w:cstheme="minorEastAsia"/>
          <w:b/>
          <w:bCs/>
          <w:color w:val="auto"/>
          <w:sz w:val="24"/>
        </w:rPr>
      </w:pPr>
    </w:p>
    <w:p>
      <w:pPr>
        <w:spacing w:line="520" w:lineRule="exact"/>
        <w:rPr>
          <w:rFonts w:hint="eastAsia" w:asciiTheme="minorEastAsia" w:hAnsiTheme="minorEastAsia" w:cstheme="minorEastAsia"/>
          <w:b/>
          <w:bCs/>
          <w:color w:val="auto"/>
          <w:sz w:val="24"/>
        </w:rPr>
      </w:pPr>
    </w:p>
    <w:p>
      <w:pPr>
        <w:spacing w:line="520" w:lineRule="exact"/>
        <w:rPr>
          <w:rFonts w:hint="eastAsia" w:asciiTheme="minorEastAsia" w:hAnsiTheme="minorEastAsia" w:cstheme="minorEastAsia"/>
          <w:b/>
          <w:bCs/>
          <w:color w:val="auto"/>
          <w:sz w:val="24"/>
        </w:rPr>
      </w:pPr>
    </w:p>
    <w:p>
      <w:pPr>
        <w:spacing w:line="520" w:lineRule="exact"/>
        <w:rPr>
          <w:rFonts w:hint="eastAsia" w:asciiTheme="minorEastAsia" w:hAnsiTheme="minorEastAsia" w:cstheme="minorEastAsia"/>
          <w:b/>
          <w:bCs/>
          <w:color w:val="auto"/>
          <w:sz w:val="24"/>
        </w:rPr>
      </w:pPr>
    </w:p>
    <w:p>
      <w:pPr>
        <w:spacing w:line="520" w:lineRule="exact"/>
        <w:rPr>
          <w:rFonts w:asciiTheme="minorEastAsia" w:hAnsiTheme="minorEastAsia" w:cstheme="minorEastAsia"/>
          <w:b/>
          <w:bCs/>
          <w:color w:val="auto"/>
          <w:sz w:val="24"/>
        </w:rPr>
      </w:pPr>
      <w:r>
        <w:rPr>
          <w:rFonts w:hint="eastAsia" w:asciiTheme="minorEastAsia" w:hAnsiTheme="minorEastAsia" w:cstheme="minorEastAsia"/>
          <w:b/>
          <w:bCs/>
          <w:color w:val="auto"/>
          <w:sz w:val="24"/>
        </w:rPr>
        <w:t>三．评标原则</w:t>
      </w:r>
    </w:p>
    <w:tbl>
      <w:tblPr>
        <w:tblStyle w:val="16"/>
        <w:tblW w:w="8740" w:type="dxa"/>
        <w:jc w:val="center"/>
        <w:tblLayout w:type="fixed"/>
        <w:tblCellMar>
          <w:top w:w="0" w:type="dxa"/>
          <w:left w:w="108" w:type="dxa"/>
          <w:bottom w:w="0" w:type="dxa"/>
          <w:right w:w="108" w:type="dxa"/>
        </w:tblCellMar>
      </w:tblPr>
      <w:tblGrid>
        <w:gridCol w:w="627"/>
        <w:gridCol w:w="627"/>
        <w:gridCol w:w="944"/>
        <w:gridCol w:w="518"/>
        <w:gridCol w:w="4717"/>
        <w:gridCol w:w="1307"/>
      </w:tblGrid>
      <w:tr>
        <w:tblPrEx>
          <w:tblCellMar>
            <w:top w:w="0" w:type="dxa"/>
            <w:left w:w="108" w:type="dxa"/>
            <w:bottom w:w="0" w:type="dxa"/>
            <w:right w:w="108" w:type="dxa"/>
          </w:tblCellMar>
        </w:tblPrEx>
        <w:trPr>
          <w:trHeight w:val="384" w:hRule="atLeast"/>
          <w:jc w:val="center"/>
        </w:trPr>
        <w:tc>
          <w:tcPr>
            <w:tcW w:w="627" w:type="dxa"/>
            <w:tcBorders>
              <w:top w:val="nil"/>
              <w:left w:val="nil"/>
              <w:bottom w:val="single" w:color="000000" w:sz="4" w:space="0"/>
              <w:right w:val="nil"/>
            </w:tcBorders>
            <w:vAlign w:val="center"/>
          </w:tcPr>
          <w:p>
            <w:pPr>
              <w:widowControl/>
              <w:jc w:val="center"/>
              <w:textAlignment w:val="bottom"/>
              <w:rPr>
                <w:rFonts w:ascii="宋体" w:hAnsi="宋体" w:cs="宋体"/>
                <w:color w:val="auto"/>
                <w:sz w:val="24"/>
              </w:rPr>
            </w:pPr>
          </w:p>
        </w:tc>
        <w:tc>
          <w:tcPr>
            <w:tcW w:w="8113" w:type="dxa"/>
            <w:gridSpan w:val="5"/>
            <w:tcBorders>
              <w:top w:val="nil"/>
              <w:left w:val="nil"/>
              <w:bottom w:val="single" w:color="000000" w:sz="4" w:space="0"/>
              <w:right w:val="nil"/>
            </w:tcBorders>
            <w:tcMar>
              <w:top w:w="15" w:type="dxa"/>
              <w:left w:w="15" w:type="dxa"/>
              <w:bottom w:w="15" w:type="dxa"/>
              <w:right w:w="15" w:type="dxa"/>
            </w:tcMar>
            <w:vAlign w:val="center"/>
          </w:tcPr>
          <w:p>
            <w:pPr>
              <w:widowControl/>
              <w:jc w:val="center"/>
              <w:textAlignment w:val="bottom"/>
              <w:rPr>
                <w:rFonts w:ascii="宋体" w:hAnsi="宋体" w:cs="宋体"/>
                <w:color w:val="auto"/>
                <w:sz w:val="20"/>
                <w:szCs w:val="20"/>
              </w:rPr>
            </w:pPr>
            <w:r>
              <w:rPr>
                <w:rFonts w:hint="eastAsia" w:ascii="宋体" w:hAnsi="宋体" w:cs="宋体"/>
                <w:color w:val="auto"/>
                <w:sz w:val="24"/>
              </w:rPr>
              <w:t>湖南康乃馨公司一栋二楼食堂运营招标</w:t>
            </w:r>
            <w:r>
              <w:rPr>
                <w:rFonts w:hint="eastAsia" w:ascii="宋体" w:hAnsi="宋体" w:cs="宋体"/>
                <w:color w:val="auto"/>
                <w:kern w:val="0"/>
                <w:sz w:val="24"/>
              </w:rPr>
              <w:t>评分标准</w:t>
            </w:r>
          </w:p>
        </w:tc>
      </w:tr>
      <w:tr>
        <w:tblPrEx>
          <w:tblCellMar>
            <w:top w:w="0" w:type="dxa"/>
            <w:left w:w="108" w:type="dxa"/>
            <w:bottom w:w="0" w:type="dxa"/>
            <w:right w:w="108" w:type="dxa"/>
          </w:tblCellMar>
        </w:tblPrEx>
        <w:trPr>
          <w:trHeight w:val="421" w:hRule="atLeast"/>
          <w:jc w:val="center"/>
        </w:trPr>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color w:val="auto"/>
                <w:kern w:val="0"/>
                <w:sz w:val="20"/>
                <w:szCs w:val="20"/>
              </w:rPr>
            </w:pPr>
            <w:r>
              <w:rPr>
                <w:rFonts w:hint="eastAsia" w:ascii="宋体" w:hAnsi="宋体" w:cs="宋体"/>
                <w:color w:val="auto"/>
                <w:kern w:val="0"/>
                <w:sz w:val="20"/>
                <w:szCs w:val="20"/>
              </w:rPr>
              <w:t>分类</w:t>
            </w: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bottom"/>
              <w:rPr>
                <w:rFonts w:ascii="宋体" w:hAnsi="宋体" w:cs="宋体"/>
                <w:color w:val="auto"/>
                <w:sz w:val="20"/>
                <w:szCs w:val="20"/>
              </w:rPr>
            </w:pPr>
            <w:r>
              <w:rPr>
                <w:rFonts w:hint="eastAsia" w:ascii="宋体" w:hAnsi="宋体" w:cs="宋体"/>
                <w:color w:val="auto"/>
                <w:kern w:val="0"/>
                <w:sz w:val="20"/>
                <w:szCs w:val="20"/>
              </w:rPr>
              <w:t>序号</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bottom"/>
              <w:rPr>
                <w:rFonts w:ascii="宋体" w:hAnsi="宋体" w:cs="宋体"/>
                <w:color w:val="auto"/>
                <w:sz w:val="20"/>
                <w:szCs w:val="20"/>
              </w:rPr>
            </w:pPr>
            <w:r>
              <w:rPr>
                <w:rFonts w:hint="eastAsia" w:ascii="宋体" w:hAnsi="宋体" w:cs="宋体"/>
                <w:color w:val="auto"/>
                <w:kern w:val="0"/>
                <w:sz w:val="20"/>
                <w:szCs w:val="20"/>
              </w:rPr>
              <w:t>项目内容</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bottom"/>
              <w:rPr>
                <w:rFonts w:ascii="宋体" w:hAnsi="宋体" w:cs="宋体"/>
                <w:color w:val="auto"/>
                <w:sz w:val="20"/>
                <w:szCs w:val="20"/>
              </w:rPr>
            </w:pPr>
            <w:r>
              <w:rPr>
                <w:rFonts w:hint="eastAsia" w:ascii="宋体" w:hAnsi="宋体" w:cs="宋体"/>
                <w:color w:val="auto"/>
                <w:kern w:val="0"/>
                <w:sz w:val="20"/>
                <w:szCs w:val="20"/>
              </w:rPr>
              <w:t>分值</w:t>
            </w:r>
          </w:p>
        </w:tc>
        <w:tc>
          <w:tcPr>
            <w:tcW w:w="47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bottom"/>
              <w:rPr>
                <w:rFonts w:ascii="宋体" w:hAnsi="宋体" w:cs="宋体"/>
                <w:color w:val="auto"/>
                <w:sz w:val="20"/>
                <w:szCs w:val="20"/>
              </w:rPr>
            </w:pPr>
            <w:r>
              <w:rPr>
                <w:rFonts w:hint="eastAsia" w:ascii="宋体" w:hAnsi="宋体" w:cs="宋体"/>
                <w:color w:val="auto"/>
                <w:kern w:val="0"/>
                <w:sz w:val="20"/>
                <w:szCs w:val="20"/>
              </w:rPr>
              <w:t>评分依据</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bottom"/>
              <w:rPr>
                <w:rFonts w:ascii="宋体" w:hAnsi="宋体" w:cs="宋体"/>
                <w:color w:val="auto"/>
                <w:sz w:val="20"/>
                <w:szCs w:val="20"/>
              </w:rPr>
            </w:pPr>
            <w:r>
              <w:rPr>
                <w:rFonts w:hint="eastAsia" w:ascii="宋体" w:hAnsi="宋体" w:cs="宋体"/>
                <w:color w:val="auto"/>
                <w:kern w:val="0"/>
                <w:sz w:val="20"/>
                <w:szCs w:val="20"/>
              </w:rPr>
              <w:t>备注</w:t>
            </w:r>
          </w:p>
        </w:tc>
      </w:tr>
      <w:tr>
        <w:tblPrEx>
          <w:tblCellMar>
            <w:top w:w="0" w:type="dxa"/>
            <w:left w:w="108" w:type="dxa"/>
            <w:bottom w:w="0" w:type="dxa"/>
            <w:right w:w="108" w:type="dxa"/>
          </w:tblCellMar>
        </w:tblPrEx>
        <w:trPr>
          <w:trHeight w:val="1629" w:hRule="atLeast"/>
          <w:jc w:val="center"/>
        </w:trPr>
        <w:tc>
          <w:tcPr>
            <w:tcW w:w="6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0"/>
                <w:szCs w:val="20"/>
              </w:rPr>
            </w:pPr>
            <w:r>
              <w:rPr>
                <w:rFonts w:hint="eastAsia" w:ascii="宋体" w:hAnsi="宋体" w:cs="宋体"/>
                <w:color w:val="auto"/>
                <w:kern w:val="0"/>
                <w:sz w:val="20"/>
                <w:szCs w:val="20"/>
              </w:rPr>
              <w:t>投标</w:t>
            </w:r>
            <w:r>
              <w:rPr>
                <w:rFonts w:hint="eastAsia" w:ascii="宋体" w:hAnsi="宋体" w:cs="宋体"/>
                <w:color w:val="auto"/>
                <w:kern w:val="0"/>
                <w:sz w:val="20"/>
                <w:szCs w:val="20"/>
                <w:lang w:eastAsia="zh-CN"/>
              </w:rPr>
              <w:t>报价</w:t>
            </w:r>
            <w:r>
              <w:rPr>
                <w:rFonts w:hint="eastAsia" w:ascii="宋体" w:hAnsi="宋体" w:cs="宋体"/>
                <w:color w:val="auto"/>
                <w:kern w:val="0"/>
                <w:sz w:val="20"/>
                <w:szCs w:val="20"/>
                <w:lang w:val="en-US" w:eastAsia="zh-CN"/>
              </w:rPr>
              <w:t>25</w:t>
            </w:r>
            <w:r>
              <w:rPr>
                <w:rFonts w:hint="eastAsia" w:ascii="宋体" w:hAnsi="宋体" w:cs="宋体"/>
                <w:color w:val="auto"/>
                <w:kern w:val="0"/>
                <w:sz w:val="20"/>
                <w:szCs w:val="20"/>
              </w:rPr>
              <w:t>分</w:t>
            </w: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auto"/>
                <w:kern w:val="0"/>
                <w:sz w:val="20"/>
                <w:szCs w:val="20"/>
              </w:rPr>
            </w:pPr>
            <w:r>
              <w:rPr>
                <w:rFonts w:hint="eastAsia" w:ascii="宋体" w:hAnsi="宋体" w:cs="宋体"/>
                <w:color w:val="auto"/>
                <w:sz w:val="20"/>
                <w:szCs w:val="20"/>
              </w:rPr>
              <w:t>1</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hint="eastAsia" w:ascii="宋体" w:hAnsi="宋体" w:cs="宋体" w:eastAsiaTheme="minorEastAsia"/>
                <w:color w:val="auto"/>
                <w:kern w:val="0"/>
                <w:sz w:val="20"/>
                <w:szCs w:val="20"/>
                <w:lang w:eastAsia="zh-CN"/>
              </w:rPr>
            </w:pPr>
            <w:r>
              <w:rPr>
                <w:rFonts w:hint="eastAsia" w:ascii="宋体" w:hAnsi="宋体" w:cs="宋体"/>
                <w:color w:val="auto"/>
                <w:sz w:val="20"/>
                <w:szCs w:val="20"/>
                <w:lang w:eastAsia="zh-CN"/>
              </w:rPr>
              <w:t>项目租金</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宋体" w:hAnsi="宋体" w:cs="宋体"/>
                <w:color w:val="auto"/>
                <w:kern w:val="0"/>
                <w:sz w:val="20"/>
                <w:szCs w:val="20"/>
                <w:lang w:val="en-US"/>
              </w:rPr>
            </w:pPr>
            <w:r>
              <w:rPr>
                <w:rFonts w:hint="eastAsia" w:ascii="宋体" w:hAnsi="宋体" w:cs="宋体"/>
                <w:color w:val="auto"/>
                <w:kern w:val="0"/>
                <w:sz w:val="20"/>
                <w:szCs w:val="20"/>
                <w:lang w:val="en-US" w:eastAsia="zh-CN"/>
              </w:rPr>
              <w:t>25</w:t>
            </w:r>
          </w:p>
        </w:tc>
        <w:tc>
          <w:tcPr>
            <w:tcW w:w="47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left"/>
              <w:rPr>
                <w:rFonts w:ascii="宋体" w:hAnsi="宋体" w:cs="宋体"/>
                <w:color w:val="auto"/>
                <w:kern w:val="0"/>
                <w:sz w:val="20"/>
                <w:szCs w:val="20"/>
              </w:rPr>
            </w:pPr>
            <w:r>
              <w:rPr>
                <w:rFonts w:hint="eastAsia" w:ascii="宋体" w:hAnsi="宋体" w:eastAsia="宋体" w:cs="宋体"/>
                <w:b w:val="0"/>
                <w:bCs w:val="0"/>
                <w:color w:val="auto"/>
                <w:sz w:val="20"/>
                <w:szCs w:val="20"/>
                <w:lang w:val="en-US" w:eastAsia="zh-CN"/>
              </w:rPr>
              <w:t>招标方就该食堂对投标人收取场地租金不低于3万/年，</w:t>
            </w:r>
            <w:r>
              <w:rPr>
                <w:rFonts w:hint="eastAsia" w:ascii="宋体" w:hAnsi="宋体" w:cs="宋体"/>
                <w:color w:val="auto"/>
                <w:kern w:val="0"/>
                <w:sz w:val="20"/>
                <w:szCs w:val="20"/>
                <w:lang w:bidi="en-US"/>
              </w:rPr>
              <w:t>经评委会一致认定满足招标文件要求且租金</w:t>
            </w:r>
            <w:r>
              <w:rPr>
                <w:rFonts w:hint="eastAsia" w:ascii="宋体" w:hAnsi="宋体" w:cs="宋体"/>
                <w:color w:val="auto"/>
                <w:kern w:val="0"/>
                <w:sz w:val="20"/>
                <w:szCs w:val="20"/>
                <w:lang w:eastAsia="zh-CN" w:bidi="en-US"/>
              </w:rPr>
              <w:t>报价</w:t>
            </w:r>
            <w:r>
              <w:rPr>
                <w:rFonts w:hint="eastAsia" w:ascii="宋体" w:hAnsi="宋体" w:cs="宋体"/>
                <w:color w:val="auto"/>
                <w:kern w:val="0"/>
                <w:sz w:val="20"/>
                <w:szCs w:val="20"/>
                <w:lang w:bidi="en-US"/>
              </w:rPr>
              <w:t>最高的得分计</w:t>
            </w:r>
            <w:r>
              <w:rPr>
                <w:rFonts w:hint="eastAsia" w:ascii="宋体" w:hAnsi="宋体" w:cs="宋体"/>
                <w:color w:val="auto"/>
                <w:kern w:val="0"/>
                <w:sz w:val="20"/>
                <w:szCs w:val="20"/>
                <w:lang w:val="en-US" w:eastAsia="zh-CN" w:bidi="en-US"/>
              </w:rPr>
              <w:t>25</w:t>
            </w:r>
            <w:r>
              <w:rPr>
                <w:rFonts w:hint="eastAsia" w:ascii="宋体" w:hAnsi="宋体" w:cs="宋体"/>
                <w:color w:val="auto"/>
                <w:kern w:val="0"/>
                <w:sz w:val="20"/>
                <w:szCs w:val="20"/>
                <w:lang w:bidi="en-US"/>
              </w:rPr>
              <w:t>分。其他投标人的价格得分统一按公式计算：报价得分＝投标所报租金÷评标基准价×</w:t>
            </w:r>
            <w:r>
              <w:rPr>
                <w:rFonts w:hint="eastAsia" w:ascii="宋体" w:hAnsi="宋体" w:cs="宋体"/>
                <w:color w:val="auto"/>
                <w:kern w:val="0"/>
                <w:sz w:val="20"/>
                <w:szCs w:val="20"/>
                <w:lang w:val="en-US" w:eastAsia="zh-CN" w:bidi="en-US"/>
              </w:rPr>
              <w:t>25</w:t>
            </w:r>
            <w:r>
              <w:rPr>
                <w:rFonts w:hint="eastAsia" w:ascii="宋体" w:hAnsi="宋体" w:cs="宋体"/>
                <w:color w:val="auto"/>
                <w:kern w:val="0"/>
                <w:sz w:val="20"/>
                <w:szCs w:val="20"/>
                <w:lang w:bidi="en-US"/>
              </w:rPr>
              <w:t>。起始租金</w:t>
            </w:r>
            <w:r>
              <w:rPr>
                <w:rFonts w:hint="eastAsia" w:ascii="宋体" w:hAnsi="宋体" w:cs="宋体"/>
                <w:color w:val="auto"/>
                <w:kern w:val="0"/>
                <w:sz w:val="20"/>
                <w:szCs w:val="20"/>
                <w:lang w:eastAsia="zh-CN" w:bidi="en-US"/>
              </w:rPr>
              <w:t>报价</w:t>
            </w:r>
            <w:r>
              <w:rPr>
                <w:rFonts w:hint="eastAsia" w:ascii="宋体" w:hAnsi="宋体" w:cs="宋体"/>
                <w:color w:val="auto"/>
                <w:kern w:val="0"/>
                <w:sz w:val="20"/>
                <w:szCs w:val="20"/>
                <w:lang w:bidi="en-US"/>
              </w:rPr>
              <w:t>低于</w:t>
            </w:r>
            <w:r>
              <w:rPr>
                <w:rFonts w:hint="eastAsia" w:ascii="宋体" w:hAnsi="宋体" w:cs="宋体"/>
                <w:color w:val="auto"/>
                <w:kern w:val="0"/>
                <w:sz w:val="20"/>
                <w:szCs w:val="20"/>
                <w:lang w:val="en-US" w:eastAsia="zh-CN" w:bidi="en-US"/>
              </w:rPr>
              <w:t>3</w:t>
            </w:r>
            <w:r>
              <w:rPr>
                <w:rFonts w:hint="eastAsia" w:ascii="宋体" w:hAnsi="宋体" w:cs="宋体"/>
                <w:color w:val="auto"/>
                <w:kern w:val="0"/>
                <w:sz w:val="20"/>
                <w:szCs w:val="20"/>
                <w:lang w:bidi="en-US"/>
              </w:rPr>
              <w:t>万元/年</w:t>
            </w:r>
            <w:r>
              <w:rPr>
                <w:rFonts w:hint="eastAsia" w:ascii="宋体" w:hAnsi="宋体" w:cs="宋体"/>
                <w:color w:val="auto"/>
                <w:kern w:val="0"/>
                <w:sz w:val="20"/>
                <w:szCs w:val="20"/>
                <w:lang w:eastAsia="zh-CN" w:bidi="en-US"/>
              </w:rPr>
              <w:t>得</w:t>
            </w:r>
            <w:r>
              <w:rPr>
                <w:rFonts w:hint="eastAsia" w:ascii="宋体" w:hAnsi="宋体" w:cs="宋体"/>
                <w:color w:val="auto"/>
                <w:kern w:val="0"/>
                <w:sz w:val="20"/>
                <w:szCs w:val="20"/>
                <w:lang w:val="en-US" w:eastAsia="zh-CN" w:bidi="en-US"/>
              </w:rPr>
              <w:t>0分</w:t>
            </w:r>
            <w:r>
              <w:rPr>
                <w:rFonts w:hint="eastAsia" w:ascii="宋体" w:hAnsi="宋体" w:cs="宋体"/>
                <w:color w:val="auto"/>
                <w:kern w:val="0"/>
                <w:sz w:val="20"/>
                <w:szCs w:val="20"/>
                <w:lang w:bidi="en-US"/>
              </w:rPr>
              <w:t>。</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auto"/>
                <w:kern w:val="0"/>
                <w:sz w:val="20"/>
                <w:szCs w:val="20"/>
              </w:rPr>
            </w:pPr>
            <w:r>
              <w:rPr>
                <w:rFonts w:hint="eastAsia" w:ascii="宋体" w:hAnsi="宋体" w:cs="宋体"/>
                <w:color w:val="auto"/>
                <w:sz w:val="20"/>
                <w:szCs w:val="20"/>
              </w:rPr>
              <w:t>合同签定时以中标时</w:t>
            </w:r>
            <w:r>
              <w:rPr>
                <w:rFonts w:hint="eastAsia" w:ascii="宋体" w:hAnsi="宋体" w:cs="宋体"/>
                <w:color w:val="auto"/>
                <w:sz w:val="20"/>
                <w:szCs w:val="20"/>
                <w:lang w:eastAsia="zh-CN"/>
              </w:rPr>
              <w:t>投标租金价格</w:t>
            </w:r>
            <w:r>
              <w:rPr>
                <w:rFonts w:hint="eastAsia" w:ascii="宋体" w:hAnsi="宋体" w:cs="宋体"/>
                <w:color w:val="auto"/>
                <w:sz w:val="20"/>
                <w:szCs w:val="20"/>
              </w:rPr>
              <w:t>为准。</w:t>
            </w:r>
          </w:p>
        </w:tc>
      </w:tr>
      <w:tr>
        <w:tblPrEx>
          <w:tblCellMar>
            <w:top w:w="0" w:type="dxa"/>
            <w:left w:w="108" w:type="dxa"/>
            <w:bottom w:w="0" w:type="dxa"/>
            <w:right w:w="108" w:type="dxa"/>
          </w:tblCellMar>
        </w:tblPrEx>
        <w:trPr>
          <w:trHeight w:val="10322" w:hRule="atLeast"/>
          <w:jc w:val="center"/>
        </w:trPr>
        <w:tc>
          <w:tcPr>
            <w:tcW w:w="62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kern w:val="0"/>
                <w:sz w:val="20"/>
                <w:szCs w:val="20"/>
              </w:rPr>
            </w:pPr>
            <w:r>
              <w:rPr>
                <w:rFonts w:hint="eastAsia" w:ascii="宋体" w:hAnsi="宋体" w:cs="宋体"/>
                <w:color w:val="auto"/>
                <w:kern w:val="0"/>
                <w:sz w:val="20"/>
                <w:szCs w:val="20"/>
              </w:rPr>
              <w:t>技术部分</w:t>
            </w:r>
          </w:p>
          <w:p>
            <w:pPr>
              <w:widowControl/>
              <w:jc w:val="center"/>
              <w:textAlignment w:val="center"/>
              <w:rPr>
                <w:rFonts w:ascii="宋体" w:hAnsi="宋体" w:cs="宋体"/>
                <w:color w:val="auto"/>
                <w:kern w:val="0"/>
                <w:sz w:val="20"/>
                <w:szCs w:val="20"/>
              </w:rPr>
            </w:pPr>
            <w:r>
              <w:rPr>
                <w:rFonts w:hint="eastAsia" w:ascii="宋体" w:hAnsi="宋体" w:cs="宋体"/>
                <w:color w:val="auto"/>
                <w:kern w:val="0"/>
                <w:sz w:val="20"/>
                <w:szCs w:val="20"/>
                <w:lang w:val="en-US" w:eastAsia="zh-CN"/>
              </w:rPr>
              <w:t>40</w:t>
            </w:r>
            <w:r>
              <w:rPr>
                <w:rFonts w:hint="eastAsia" w:ascii="宋体" w:hAnsi="宋体" w:cs="宋体"/>
                <w:color w:val="auto"/>
                <w:kern w:val="0"/>
                <w:sz w:val="20"/>
                <w:szCs w:val="20"/>
              </w:rPr>
              <w:t>分</w:t>
            </w:r>
          </w:p>
        </w:tc>
        <w:tc>
          <w:tcPr>
            <w:tcW w:w="627"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2</w:t>
            </w:r>
          </w:p>
        </w:tc>
        <w:tc>
          <w:tcPr>
            <w:tcW w:w="944"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运营</w:t>
            </w:r>
            <w:r>
              <w:rPr>
                <w:rFonts w:hint="eastAsia" w:ascii="宋体" w:hAnsi="宋体" w:cs="宋体"/>
                <w:color w:val="auto"/>
                <w:kern w:val="0"/>
                <w:sz w:val="20"/>
                <w:szCs w:val="20"/>
                <w:lang w:eastAsia="zh-CN"/>
              </w:rPr>
              <w:t>管理及营销</w:t>
            </w:r>
            <w:r>
              <w:rPr>
                <w:rFonts w:hint="eastAsia" w:ascii="宋体" w:hAnsi="宋体" w:cs="宋体"/>
                <w:color w:val="auto"/>
                <w:kern w:val="0"/>
                <w:sz w:val="20"/>
                <w:szCs w:val="20"/>
              </w:rPr>
              <w:t>方案</w:t>
            </w:r>
          </w:p>
        </w:tc>
        <w:tc>
          <w:tcPr>
            <w:tcW w:w="518"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宋体" w:hAnsi="宋体" w:cs="宋体"/>
                <w:color w:val="auto"/>
                <w:sz w:val="20"/>
                <w:szCs w:val="20"/>
                <w:lang w:val="en-US"/>
              </w:rPr>
            </w:pPr>
            <w:r>
              <w:rPr>
                <w:rFonts w:hint="eastAsia" w:ascii="宋体" w:hAnsi="宋体" w:cs="宋体"/>
                <w:color w:val="auto"/>
                <w:kern w:val="0"/>
                <w:sz w:val="20"/>
                <w:szCs w:val="20"/>
                <w:lang w:val="en-US" w:eastAsia="zh-CN"/>
              </w:rPr>
              <w:t>35</w:t>
            </w:r>
          </w:p>
        </w:tc>
        <w:tc>
          <w:tcPr>
            <w:tcW w:w="47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numPr>
                <w:ilvl w:val="-1"/>
                <w:numId w:val="0"/>
              </w:numPr>
              <w:jc w:val="left"/>
              <w:rPr>
                <w:rFonts w:hint="eastAsia" w:ascii="宋体" w:hAnsi="宋体" w:cs="宋体"/>
                <w:color w:val="auto"/>
                <w:kern w:val="0"/>
                <w:sz w:val="20"/>
                <w:szCs w:val="20"/>
                <w:lang w:val="en-US" w:eastAsia="zh-CN" w:bidi="en-US"/>
              </w:rPr>
            </w:pPr>
            <w:r>
              <w:rPr>
                <w:rFonts w:hint="eastAsia" w:ascii="宋体" w:hAnsi="宋体" w:cs="宋体"/>
                <w:color w:val="auto"/>
                <w:kern w:val="0"/>
                <w:sz w:val="20"/>
                <w:szCs w:val="20"/>
              </w:rPr>
              <w:t>以湖南康乃馨</w:t>
            </w:r>
            <w:r>
              <w:rPr>
                <w:rFonts w:hint="eastAsia" w:ascii="宋体" w:hAnsi="宋体" w:cs="宋体"/>
                <w:color w:val="auto"/>
                <w:kern w:val="0"/>
                <w:sz w:val="20"/>
                <w:szCs w:val="20"/>
                <w:lang w:eastAsia="zh-CN"/>
              </w:rPr>
              <w:t>公司</w:t>
            </w:r>
            <w:r>
              <w:rPr>
                <w:rFonts w:hint="eastAsia" w:ascii="宋体" w:hAnsi="宋体" w:cs="宋体"/>
                <w:color w:val="auto"/>
                <w:kern w:val="0"/>
                <w:sz w:val="20"/>
                <w:szCs w:val="20"/>
              </w:rPr>
              <w:t>一栋二</w:t>
            </w:r>
            <w:r>
              <w:rPr>
                <w:rFonts w:hint="eastAsia" w:ascii="宋体" w:hAnsi="宋体" w:cs="宋体"/>
                <w:color w:val="auto"/>
                <w:kern w:val="0"/>
                <w:sz w:val="20"/>
                <w:szCs w:val="20"/>
                <w:lang w:bidi="en-US"/>
              </w:rPr>
              <w:t>楼食堂的特点制定详细具体可行性的</w:t>
            </w:r>
            <w:r>
              <w:rPr>
                <w:rFonts w:hint="eastAsia" w:ascii="宋体" w:hAnsi="宋体" w:cs="宋体"/>
                <w:color w:val="auto"/>
                <w:kern w:val="0"/>
                <w:sz w:val="20"/>
                <w:szCs w:val="20"/>
                <w:lang w:eastAsia="zh-CN" w:bidi="en-US"/>
              </w:rPr>
              <w:t>运营管理、营销方案进行综合打分：</w:t>
            </w:r>
          </w:p>
          <w:p>
            <w:pPr>
              <w:numPr>
                <w:ilvl w:val="-1"/>
                <w:numId w:val="0"/>
              </w:numPr>
              <w:jc w:val="left"/>
              <w:rPr>
                <w:rFonts w:ascii="宋体" w:hAnsi="宋体" w:cs="宋体"/>
                <w:color w:val="auto"/>
                <w:kern w:val="0"/>
                <w:sz w:val="20"/>
                <w:szCs w:val="20"/>
              </w:rPr>
            </w:pPr>
            <w:r>
              <w:rPr>
                <w:rFonts w:hint="eastAsia" w:ascii="宋体" w:hAnsi="宋体" w:cs="宋体"/>
                <w:color w:val="auto"/>
                <w:kern w:val="0"/>
                <w:sz w:val="20"/>
                <w:szCs w:val="20"/>
                <w:lang w:val="en-US" w:eastAsia="zh-CN" w:bidi="en-US"/>
              </w:rPr>
              <w:t>1.</w:t>
            </w:r>
            <w:r>
              <w:rPr>
                <w:rFonts w:hint="eastAsia" w:ascii="宋体" w:hAnsi="宋体" w:cs="宋体"/>
                <w:color w:val="auto"/>
                <w:kern w:val="0"/>
                <w:sz w:val="20"/>
                <w:szCs w:val="20"/>
                <w:lang w:eastAsia="zh-CN" w:bidi="en-US"/>
              </w:rPr>
              <w:t>早</w:t>
            </w:r>
            <w:r>
              <w:rPr>
                <w:rFonts w:hint="eastAsia" w:ascii="宋体" w:hAnsi="宋体" w:cs="宋体"/>
                <w:color w:val="auto"/>
                <w:kern w:val="0"/>
                <w:sz w:val="20"/>
                <w:szCs w:val="20"/>
                <w:lang w:val="en-US" w:eastAsia="zh-CN" w:bidi="en-US"/>
              </w:rPr>
              <w:t>餐供应</w:t>
            </w:r>
            <w:r>
              <w:rPr>
                <w:rFonts w:hint="eastAsia" w:ascii="宋体" w:hAnsi="宋体" w:cs="宋体"/>
                <w:color w:val="auto"/>
                <w:kern w:val="0"/>
                <w:sz w:val="20"/>
                <w:szCs w:val="20"/>
                <w:lang w:eastAsia="zh-CN" w:bidi="en-US"/>
              </w:rPr>
              <w:t>方案：早餐的品种、价格、口味，</w:t>
            </w:r>
            <w:r>
              <w:rPr>
                <w:rFonts w:hint="eastAsia" w:ascii="宋体" w:hAnsi="宋体" w:cs="宋体"/>
                <w:color w:val="auto"/>
                <w:kern w:val="0"/>
                <w:sz w:val="20"/>
                <w:szCs w:val="20"/>
                <w:lang w:bidi="en-US"/>
              </w:rPr>
              <w:t>优计</w:t>
            </w:r>
            <w:r>
              <w:rPr>
                <w:rFonts w:hint="eastAsia" w:ascii="宋体" w:hAnsi="宋体" w:cs="宋体"/>
                <w:color w:val="auto"/>
                <w:kern w:val="0"/>
                <w:sz w:val="20"/>
                <w:szCs w:val="20"/>
                <w:lang w:val="en-US" w:eastAsia="zh-CN" w:bidi="en-US"/>
              </w:rPr>
              <w:t>5</w:t>
            </w:r>
            <w:r>
              <w:rPr>
                <w:rFonts w:hint="eastAsia" w:ascii="宋体" w:hAnsi="宋体" w:cs="宋体"/>
                <w:color w:val="auto"/>
                <w:kern w:val="0"/>
                <w:sz w:val="20"/>
                <w:szCs w:val="20"/>
                <w:lang w:bidi="en-US"/>
              </w:rPr>
              <w:t>分，良计</w:t>
            </w:r>
            <w:r>
              <w:rPr>
                <w:rFonts w:hint="eastAsia" w:ascii="宋体" w:hAnsi="宋体" w:cs="宋体"/>
                <w:color w:val="auto"/>
                <w:kern w:val="0"/>
                <w:sz w:val="20"/>
                <w:szCs w:val="20"/>
                <w:lang w:val="en-US" w:eastAsia="zh-CN" w:bidi="en-US"/>
              </w:rPr>
              <w:t>3</w:t>
            </w:r>
            <w:r>
              <w:rPr>
                <w:rFonts w:hint="eastAsia" w:ascii="宋体" w:hAnsi="宋体" w:cs="宋体"/>
                <w:color w:val="auto"/>
                <w:kern w:val="0"/>
                <w:sz w:val="20"/>
                <w:szCs w:val="20"/>
                <w:lang w:bidi="en-US"/>
              </w:rPr>
              <w:t>分，</w:t>
            </w:r>
            <w:r>
              <w:rPr>
                <w:rFonts w:ascii="宋体" w:hAnsi="宋体" w:cs="宋体"/>
                <w:color w:val="auto"/>
                <w:kern w:val="0"/>
                <w:sz w:val="20"/>
                <w:szCs w:val="20"/>
              </w:rPr>
              <w:t>一般计</w:t>
            </w:r>
            <w:r>
              <w:rPr>
                <w:rFonts w:hint="eastAsia" w:ascii="宋体" w:hAnsi="宋体" w:cs="宋体"/>
                <w:color w:val="auto"/>
                <w:kern w:val="0"/>
                <w:sz w:val="20"/>
                <w:szCs w:val="20"/>
                <w:lang w:val="en-US" w:eastAsia="zh-CN"/>
              </w:rPr>
              <w:t>1</w:t>
            </w:r>
            <w:r>
              <w:rPr>
                <w:rFonts w:ascii="宋体" w:hAnsi="宋体" w:cs="宋体"/>
                <w:color w:val="auto"/>
                <w:kern w:val="0"/>
                <w:sz w:val="20"/>
                <w:szCs w:val="20"/>
              </w:rPr>
              <w:t>分，差计0分。</w:t>
            </w:r>
          </w:p>
          <w:p>
            <w:pPr>
              <w:widowControl/>
              <w:jc w:val="left"/>
              <w:rPr>
                <w:rFonts w:hint="eastAsia" w:ascii="宋体" w:hAnsi="宋体" w:cs="宋体"/>
                <w:color w:val="auto"/>
                <w:kern w:val="0"/>
                <w:sz w:val="20"/>
                <w:szCs w:val="20"/>
                <w:lang w:val="en-US" w:eastAsia="zh-CN" w:bidi="en-US"/>
              </w:rPr>
            </w:pPr>
            <w:r>
              <w:rPr>
                <w:rFonts w:hint="eastAsia" w:ascii="宋体" w:hAnsi="宋体" w:cs="宋体"/>
                <w:color w:val="auto"/>
                <w:kern w:val="0"/>
                <w:sz w:val="20"/>
                <w:szCs w:val="20"/>
                <w:lang w:val="en-US" w:eastAsia="zh-CN" w:bidi="en-US"/>
              </w:rPr>
              <w:t>2.中、晚餐供应方案：品种、价格、口味及服务态度，</w:t>
            </w:r>
            <w:r>
              <w:rPr>
                <w:rFonts w:hint="eastAsia" w:ascii="宋体" w:hAnsi="宋体" w:cs="宋体"/>
                <w:color w:val="auto"/>
                <w:kern w:val="0"/>
                <w:sz w:val="20"/>
                <w:szCs w:val="20"/>
                <w:lang w:bidi="en-US"/>
              </w:rPr>
              <w:t>优计</w:t>
            </w:r>
            <w:r>
              <w:rPr>
                <w:rFonts w:hint="eastAsia" w:ascii="宋体" w:hAnsi="宋体" w:cs="宋体"/>
                <w:color w:val="auto"/>
                <w:kern w:val="0"/>
                <w:sz w:val="20"/>
                <w:szCs w:val="20"/>
                <w:lang w:val="en-US" w:eastAsia="zh-CN" w:bidi="en-US"/>
              </w:rPr>
              <w:t>10</w:t>
            </w:r>
            <w:r>
              <w:rPr>
                <w:rFonts w:hint="eastAsia" w:ascii="宋体" w:hAnsi="宋体" w:cs="宋体"/>
                <w:color w:val="auto"/>
                <w:kern w:val="0"/>
                <w:sz w:val="20"/>
                <w:szCs w:val="20"/>
                <w:lang w:bidi="en-US"/>
              </w:rPr>
              <w:t>分，良计</w:t>
            </w:r>
            <w:r>
              <w:rPr>
                <w:rFonts w:hint="eastAsia" w:ascii="宋体" w:hAnsi="宋体" w:cs="宋体"/>
                <w:color w:val="auto"/>
                <w:kern w:val="0"/>
                <w:sz w:val="20"/>
                <w:szCs w:val="20"/>
                <w:lang w:val="en-US" w:eastAsia="zh-CN" w:bidi="en-US"/>
              </w:rPr>
              <w:t>7</w:t>
            </w:r>
            <w:r>
              <w:rPr>
                <w:rFonts w:hint="eastAsia" w:ascii="宋体" w:hAnsi="宋体" w:cs="宋体"/>
                <w:color w:val="auto"/>
                <w:kern w:val="0"/>
                <w:sz w:val="20"/>
                <w:szCs w:val="20"/>
                <w:lang w:bidi="en-US"/>
              </w:rPr>
              <w:t>分，</w:t>
            </w:r>
            <w:r>
              <w:rPr>
                <w:rFonts w:ascii="宋体" w:hAnsi="宋体" w:cs="宋体"/>
                <w:color w:val="auto"/>
                <w:kern w:val="0"/>
                <w:sz w:val="20"/>
                <w:szCs w:val="20"/>
              </w:rPr>
              <w:t>一般计</w:t>
            </w:r>
            <w:r>
              <w:rPr>
                <w:rFonts w:hint="eastAsia" w:ascii="宋体" w:hAnsi="宋体" w:cs="宋体"/>
                <w:color w:val="auto"/>
                <w:kern w:val="0"/>
                <w:sz w:val="20"/>
                <w:szCs w:val="20"/>
                <w:lang w:val="en-US" w:eastAsia="zh-CN"/>
              </w:rPr>
              <w:t>3</w:t>
            </w:r>
            <w:r>
              <w:rPr>
                <w:rFonts w:ascii="宋体" w:hAnsi="宋体" w:cs="宋体"/>
                <w:color w:val="auto"/>
                <w:kern w:val="0"/>
                <w:sz w:val="20"/>
                <w:szCs w:val="20"/>
              </w:rPr>
              <w:t>分，差计0分</w:t>
            </w:r>
            <w:r>
              <w:rPr>
                <w:rFonts w:hint="eastAsia" w:ascii="宋体" w:hAnsi="宋体" w:cs="宋体"/>
                <w:color w:val="auto"/>
                <w:kern w:val="0"/>
                <w:sz w:val="20"/>
                <w:szCs w:val="20"/>
                <w:lang w:val="en-US" w:eastAsia="zh-CN" w:bidi="en-US"/>
              </w:rPr>
              <w:t>。</w:t>
            </w:r>
          </w:p>
          <w:p>
            <w:pPr>
              <w:widowControl/>
              <w:jc w:val="left"/>
              <w:rPr>
                <w:rFonts w:ascii="宋体" w:hAnsi="宋体" w:cs="宋体"/>
                <w:color w:val="auto"/>
                <w:kern w:val="0"/>
                <w:sz w:val="20"/>
                <w:szCs w:val="20"/>
              </w:rPr>
            </w:pPr>
            <w:r>
              <w:rPr>
                <w:rFonts w:hint="eastAsia" w:ascii="宋体" w:hAnsi="宋体" w:cs="宋体"/>
                <w:color w:val="auto"/>
                <w:kern w:val="0"/>
                <w:sz w:val="20"/>
                <w:szCs w:val="20"/>
                <w:lang w:val="en-US" w:eastAsia="zh-CN" w:bidi="en-US"/>
              </w:rPr>
              <w:t>3.</w:t>
            </w:r>
            <w:r>
              <w:rPr>
                <w:rFonts w:hint="eastAsia" w:ascii="宋体" w:hAnsi="宋体" w:cs="宋体"/>
                <w:color w:val="auto"/>
                <w:kern w:val="0"/>
                <w:sz w:val="20"/>
                <w:szCs w:val="20"/>
                <w:lang w:bidi="en-US"/>
              </w:rPr>
              <w:t>卫生质量控制方案：标准化、制度化、时效性，内容的系统、完整性，以及实施措施的实用性、合理性等，优计</w:t>
            </w:r>
            <w:r>
              <w:rPr>
                <w:rFonts w:hint="eastAsia" w:ascii="宋体" w:hAnsi="宋体" w:cs="宋体"/>
                <w:color w:val="auto"/>
                <w:kern w:val="0"/>
                <w:sz w:val="20"/>
                <w:szCs w:val="20"/>
                <w:lang w:val="en-US" w:eastAsia="zh-CN" w:bidi="en-US"/>
              </w:rPr>
              <w:t>3</w:t>
            </w:r>
            <w:r>
              <w:rPr>
                <w:rFonts w:hint="eastAsia" w:ascii="宋体" w:hAnsi="宋体" w:cs="宋体"/>
                <w:color w:val="auto"/>
                <w:kern w:val="0"/>
                <w:sz w:val="20"/>
                <w:szCs w:val="20"/>
                <w:lang w:bidi="en-US"/>
              </w:rPr>
              <w:t>分，良计</w:t>
            </w:r>
            <w:r>
              <w:rPr>
                <w:rFonts w:hint="eastAsia" w:ascii="宋体" w:hAnsi="宋体" w:cs="宋体"/>
                <w:color w:val="auto"/>
                <w:kern w:val="0"/>
                <w:sz w:val="20"/>
                <w:szCs w:val="20"/>
                <w:lang w:val="en-US" w:eastAsia="zh-CN" w:bidi="en-US"/>
              </w:rPr>
              <w:t>2</w:t>
            </w:r>
            <w:r>
              <w:rPr>
                <w:rFonts w:hint="eastAsia" w:ascii="宋体" w:hAnsi="宋体" w:cs="宋体"/>
                <w:color w:val="auto"/>
                <w:kern w:val="0"/>
                <w:sz w:val="20"/>
                <w:szCs w:val="20"/>
                <w:lang w:bidi="en-US"/>
              </w:rPr>
              <w:t>分，</w:t>
            </w:r>
            <w:r>
              <w:rPr>
                <w:rFonts w:ascii="宋体" w:hAnsi="宋体" w:cs="宋体"/>
                <w:color w:val="auto"/>
                <w:kern w:val="0"/>
                <w:sz w:val="20"/>
                <w:szCs w:val="20"/>
              </w:rPr>
              <w:t>一般计</w:t>
            </w:r>
            <w:r>
              <w:rPr>
                <w:rFonts w:hint="eastAsia" w:ascii="宋体" w:hAnsi="宋体" w:cs="宋体"/>
                <w:color w:val="auto"/>
                <w:kern w:val="0"/>
                <w:sz w:val="20"/>
                <w:szCs w:val="20"/>
                <w:lang w:val="en-US" w:eastAsia="zh-CN"/>
              </w:rPr>
              <w:t>1</w:t>
            </w:r>
            <w:r>
              <w:rPr>
                <w:rFonts w:ascii="宋体" w:hAnsi="宋体" w:cs="宋体"/>
                <w:color w:val="auto"/>
                <w:kern w:val="0"/>
                <w:sz w:val="20"/>
                <w:szCs w:val="20"/>
              </w:rPr>
              <w:t>分，差计0分。</w:t>
            </w:r>
          </w:p>
          <w:p>
            <w:pPr>
              <w:widowControl/>
              <w:jc w:val="left"/>
              <w:rPr>
                <w:rFonts w:ascii="宋体" w:hAnsi="宋体" w:cs="宋体"/>
                <w:color w:val="auto"/>
                <w:kern w:val="0"/>
                <w:sz w:val="20"/>
                <w:szCs w:val="20"/>
              </w:rPr>
            </w:pPr>
            <w:r>
              <w:rPr>
                <w:rFonts w:hint="eastAsia" w:ascii="宋体" w:hAnsi="宋体" w:cs="宋体"/>
                <w:color w:val="auto"/>
                <w:kern w:val="0"/>
                <w:sz w:val="20"/>
                <w:szCs w:val="20"/>
                <w:lang w:val="en-US" w:eastAsia="zh-CN"/>
              </w:rPr>
              <w:t>4</w:t>
            </w:r>
            <w:r>
              <w:rPr>
                <w:rFonts w:ascii="宋体" w:hAnsi="宋体" w:cs="宋体"/>
                <w:color w:val="auto"/>
                <w:kern w:val="0"/>
                <w:sz w:val="20"/>
                <w:szCs w:val="20"/>
              </w:rPr>
              <w:t>.操作规程控制管理方案：科学性、标准化，内容的系统、完整性，以及实施措施的实用性、合理性等，优计</w:t>
            </w:r>
            <w:r>
              <w:rPr>
                <w:rFonts w:hint="eastAsia" w:ascii="宋体" w:hAnsi="宋体" w:cs="宋体"/>
                <w:color w:val="auto"/>
                <w:kern w:val="0"/>
                <w:sz w:val="20"/>
                <w:szCs w:val="20"/>
                <w:lang w:val="en-US" w:eastAsia="zh-CN"/>
              </w:rPr>
              <w:t>3</w:t>
            </w:r>
            <w:r>
              <w:rPr>
                <w:rFonts w:ascii="宋体" w:hAnsi="宋体" w:cs="宋体"/>
                <w:color w:val="auto"/>
                <w:kern w:val="0"/>
                <w:sz w:val="20"/>
                <w:szCs w:val="20"/>
              </w:rPr>
              <w:t>分，良计</w:t>
            </w:r>
            <w:r>
              <w:rPr>
                <w:rFonts w:hint="eastAsia" w:ascii="宋体" w:hAnsi="宋体" w:cs="宋体"/>
                <w:color w:val="auto"/>
                <w:kern w:val="0"/>
                <w:sz w:val="20"/>
                <w:szCs w:val="20"/>
                <w:lang w:val="en-US" w:eastAsia="zh-CN"/>
              </w:rPr>
              <w:t>2</w:t>
            </w:r>
            <w:r>
              <w:rPr>
                <w:rFonts w:ascii="宋体" w:hAnsi="宋体" w:cs="宋体"/>
                <w:color w:val="auto"/>
                <w:kern w:val="0"/>
                <w:sz w:val="20"/>
                <w:szCs w:val="20"/>
              </w:rPr>
              <w:t>分，一般计</w:t>
            </w:r>
            <w:r>
              <w:rPr>
                <w:rFonts w:hint="eastAsia" w:ascii="宋体" w:hAnsi="宋体" w:cs="宋体"/>
                <w:color w:val="auto"/>
                <w:kern w:val="0"/>
                <w:sz w:val="20"/>
                <w:szCs w:val="20"/>
                <w:lang w:val="en-US" w:eastAsia="zh-CN"/>
              </w:rPr>
              <w:t>1</w:t>
            </w:r>
            <w:r>
              <w:rPr>
                <w:rFonts w:ascii="宋体" w:hAnsi="宋体" w:cs="宋体"/>
                <w:color w:val="auto"/>
                <w:kern w:val="0"/>
                <w:sz w:val="20"/>
                <w:szCs w:val="20"/>
              </w:rPr>
              <w:t>分，差计0分。</w:t>
            </w:r>
          </w:p>
          <w:p>
            <w:pPr>
              <w:widowControl/>
              <w:jc w:val="left"/>
              <w:rPr>
                <w:rFonts w:ascii="宋体" w:hAnsi="宋体" w:cs="宋体"/>
                <w:color w:val="auto"/>
                <w:kern w:val="0"/>
                <w:sz w:val="20"/>
                <w:szCs w:val="20"/>
              </w:rPr>
            </w:pPr>
            <w:r>
              <w:rPr>
                <w:rFonts w:hint="eastAsia" w:ascii="宋体" w:hAnsi="宋体" w:cs="宋体"/>
                <w:color w:val="auto"/>
                <w:kern w:val="0"/>
                <w:sz w:val="20"/>
                <w:szCs w:val="20"/>
                <w:lang w:val="en-US" w:eastAsia="zh-CN"/>
              </w:rPr>
              <w:t>5</w:t>
            </w:r>
            <w:r>
              <w:rPr>
                <w:rFonts w:ascii="宋体" w:hAnsi="宋体" w:cs="宋体"/>
                <w:color w:val="auto"/>
                <w:kern w:val="0"/>
                <w:sz w:val="20"/>
                <w:szCs w:val="20"/>
              </w:rPr>
              <w:t>.原材料采购管理方案：规范化、集中定点采购、安全保障性强，质量、保管符合《食品安全法》和各级食药部门及采购人的要求等，优计</w:t>
            </w:r>
            <w:r>
              <w:rPr>
                <w:rFonts w:hint="eastAsia" w:ascii="宋体" w:hAnsi="宋体" w:cs="宋体"/>
                <w:color w:val="auto"/>
                <w:kern w:val="0"/>
                <w:sz w:val="20"/>
                <w:szCs w:val="20"/>
                <w:lang w:val="en-US" w:eastAsia="zh-CN"/>
              </w:rPr>
              <w:t>2</w:t>
            </w:r>
            <w:r>
              <w:rPr>
                <w:rFonts w:ascii="宋体" w:hAnsi="宋体" w:cs="宋体"/>
                <w:color w:val="auto"/>
                <w:kern w:val="0"/>
                <w:sz w:val="20"/>
                <w:szCs w:val="20"/>
              </w:rPr>
              <w:t>分，良计</w:t>
            </w:r>
            <w:r>
              <w:rPr>
                <w:rFonts w:hint="eastAsia" w:ascii="宋体" w:hAnsi="宋体" w:cs="宋体"/>
                <w:color w:val="auto"/>
                <w:kern w:val="0"/>
                <w:sz w:val="20"/>
                <w:szCs w:val="20"/>
              </w:rPr>
              <w:t>1</w:t>
            </w:r>
            <w:r>
              <w:rPr>
                <w:rFonts w:ascii="宋体" w:hAnsi="宋体" w:cs="宋体"/>
                <w:color w:val="auto"/>
                <w:kern w:val="0"/>
                <w:sz w:val="20"/>
                <w:szCs w:val="20"/>
              </w:rPr>
              <w:t>分，一般计</w:t>
            </w:r>
            <w:r>
              <w:rPr>
                <w:rFonts w:hint="eastAsia" w:ascii="宋体" w:hAnsi="宋体" w:cs="宋体"/>
                <w:color w:val="auto"/>
                <w:kern w:val="0"/>
                <w:sz w:val="20"/>
                <w:szCs w:val="20"/>
              </w:rPr>
              <w:t>0.5</w:t>
            </w:r>
            <w:r>
              <w:rPr>
                <w:rFonts w:ascii="宋体" w:hAnsi="宋体" w:cs="宋体"/>
                <w:color w:val="auto"/>
                <w:kern w:val="0"/>
                <w:sz w:val="20"/>
                <w:szCs w:val="20"/>
              </w:rPr>
              <w:t>分，差计0分。</w:t>
            </w:r>
          </w:p>
          <w:p>
            <w:pPr>
              <w:widowControl/>
              <w:jc w:val="left"/>
              <w:rPr>
                <w:rFonts w:ascii="宋体" w:hAnsi="宋体" w:cs="宋体"/>
                <w:color w:val="auto"/>
                <w:kern w:val="0"/>
                <w:sz w:val="20"/>
                <w:szCs w:val="20"/>
              </w:rPr>
            </w:pPr>
            <w:r>
              <w:rPr>
                <w:rFonts w:hint="eastAsia" w:ascii="宋体" w:hAnsi="宋体" w:cs="宋体"/>
                <w:color w:val="auto"/>
                <w:kern w:val="0"/>
                <w:sz w:val="20"/>
                <w:szCs w:val="20"/>
                <w:lang w:val="en-US" w:eastAsia="zh-CN"/>
              </w:rPr>
              <w:t>6</w:t>
            </w:r>
            <w:r>
              <w:rPr>
                <w:rFonts w:ascii="宋体" w:hAnsi="宋体" w:cs="宋体"/>
                <w:color w:val="auto"/>
                <w:kern w:val="0"/>
                <w:sz w:val="20"/>
                <w:szCs w:val="20"/>
              </w:rPr>
              <w:t>.食品加工方案从食品储存、陈列、制作加工等方面进行综合评价，优计</w:t>
            </w:r>
            <w:r>
              <w:rPr>
                <w:rFonts w:hint="eastAsia" w:ascii="宋体" w:hAnsi="宋体" w:cs="宋体"/>
                <w:color w:val="auto"/>
                <w:kern w:val="0"/>
                <w:sz w:val="20"/>
                <w:szCs w:val="20"/>
                <w:lang w:val="en-US" w:eastAsia="zh-CN"/>
              </w:rPr>
              <w:t>3</w:t>
            </w:r>
            <w:r>
              <w:rPr>
                <w:rFonts w:ascii="宋体" w:hAnsi="宋体" w:cs="宋体"/>
                <w:color w:val="auto"/>
                <w:kern w:val="0"/>
                <w:sz w:val="20"/>
                <w:szCs w:val="20"/>
              </w:rPr>
              <w:t>分，良计</w:t>
            </w:r>
            <w:r>
              <w:rPr>
                <w:rFonts w:hint="eastAsia" w:ascii="宋体" w:hAnsi="宋体" w:cs="宋体"/>
                <w:color w:val="auto"/>
                <w:kern w:val="0"/>
                <w:sz w:val="20"/>
                <w:szCs w:val="20"/>
                <w:lang w:val="en-US" w:eastAsia="zh-CN"/>
              </w:rPr>
              <w:t>2</w:t>
            </w:r>
            <w:r>
              <w:rPr>
                <w:rFonts w:ascii="宋体" w:hAnsi="宋体" w:cs="宋体"/>
                <w:color w:val="auto"/>
                <w:kern w:val="0"/>
                <w:sz w:val="20"/>
                <w:szCs w:val="20"/>
              </w:rPr>
              <w:t>分，一般计</w:t>
            </w:r>
            <w:r>
              <w:rPr>
                <w:rFonts w:hint="eastAsia" w:ascii="宋体" w:hAnsi="宋体" w:cs="宋体"/>
                <w:color w:val="auto"/>
                <w:kern w:val="0"/>
                <w:sz w:val="20"/>
                <w:szCs w:val="20"/>
                <w:lang w:val="en-US" w:eastAsia="zh-CN"/>
              </w:rPr>
              <w:t>1</w:t>
            </w:r>
            <w:r>
              <w:rPr>
                <w:rFonts w:ascii="宋体" w:hAnsi="宋体" w:cs="宋体"/>
                <w:color w:val="auto"/>
                <w:kern w:val="0"/>
                <w:sz w:val="20"/>
                <w:szCs w:val="20"/>
              </w:rPr>
              <w:t>分，差计0分。</w:t>
            </w:r>
          </w:p>
          <w:p>
            <w:pPr>
              <w:widowControl/>
              <w:jc w:val="left"/>
              <w:rPr>
                <w:rFonts w:ascii="宋体" w:hAnsi="宋体" w:cs="宋体"/>
                <w:color w:val="auto"/>
                <w:kern w:val="0"/>
                <w:sz w:val="20"/>
                <w:szCs w:val="20"/>
              </w:rPr>
            </w:pPr>
            <w:r>
              <w:rPr>
                <w:rFonts w:hint="eastAsia" w:ascii="宋体" w:hAnsi="宋体" w:cs="宋体"/>
                <w:color w:val="auto"/>
                <w:kern w:val="0"/>
                <w:sz w:val="20"/>
                <w:szCs w:val="20"/>
                <w:lang w:val="en-US" w:eastAsia="zh-CN"/>
              </w:rPr>
              <w:t>7</w:t>
            </w:r>
            <w:r>
              <w:rPr>
                <w:rFonts w:ascii="宋体" w:hAnsi="宋体" w:cs="宋体"/>
                <w:color w:val="auto"/>
                <w:kern w:val="0"/>
                <w:sz w:val="20"/>
                <w:szCs w:val="20"/>
              </w:rPr>
              <w:t>.食品安全应急预案：合理完善、预见性、及时性、响应性、可操作、有演练计划等，优计</w:t>
            </w:r>
            <w:r>
              <w:rPr>
                <w:rFonts w:hint="eastAsia" w:ascii="宋体" w:hAnsi="宋体" w:cs="宋体"/>
                <w:color w:val="auto"/>
                <w:kern w:val="0"/>
                <w:sz w:val="20"/>
                <w:szCs w:val="20"/>
                <w:lang w:val="en-US" w:eastAsia="zh-CN"/>
              </w:rPr>
              <w:t>3</w:t>
            </w:r>
            <w:r>
              <w:rPr>
                <w:rFonts w:ascii="宋体" w:hAnsi="宋体" w:cs="宋体"/>
                <w:color w:val="auto"/>
                <w:kern w:val="0"/>
                <w:sz w:val="20"/>
                <w:szCs w:val="20"/>
              </w:rPr>
              <w:t>分，良计</w:t>
            </w:r>
            <w:r>
              <w:rPr>
                <w:rFonts w:hint="eastAsia" w:ascii="宋体" w:hAnsi="宋体" w:cs="宋体"/>
                <w:color w:val="auto"/>
                <w:kern w:val="0"/>
                <w:sz w:val="20"/>
                <w:szCs w:val="20"/>
                <w:lang w:val="en-US" w:eastAsia="zh-CN"/>
              </w:rPr>
              <w:t>2</w:t>
            </w:r>
            <w:r>
              <w:rPr>
                <w:rFonts w:ascii="宋体" w:hAnsi="宋体" w:cs="宋体"/>
                <w:color w:val="auto"/>
                <w:kern w:val="0"/>
                <w:sz w:val="20"/>
                <w:szCs w:val="20"/>
              </w:rPr>
              <w:t>分，一般计</w:t>
            </w:r>
            <w:r>
              <w:rPr>
                <w:rFonts w:hint="eastAsia" w:ascii="宋体" w:hAnsi="宋体" w:cs="宋体"/>
                <w:color w:val="auto"/>
                <w:kern w:val="0"/>
                <w:sz w:val="20"/>
                <w:szCs w:val="20"/>
                <w:lang w:val="en-US" w:eastAsia="zh-CN"/>
              </w:rPr>
              <w:t>1</w:t>
            </w:r>
            <w:r>
              <w:rPr>
                <w:rFonts w:ascii="宋体" w:hAnsi="宋体" w:cs="宋体"/>
                <w:color w:val="auto"/>
                <w:kern w:val="0"/>
                <w:sz w:val="20"/>
                <w:szCs w:val="20"/>
              </w:rPr>
              <w:t>分，差计0分。</w:t>
            </w:r>
          </w:p>
          <w:p>
            <w:pPr>
              <w:widowControl/>
              <w:jc w:val="left"/>
              <w:rPr>
                <w:rFonts w:ascii="宋体" w:hAnsi="宋体" w:cs="宋体"/>
                <w:color w:val="auto"/>
                <w:kern w:val="0"/>
                <w:sz w:val="20"/>
                <w:szCs w:val="20"/>
              </w:rPr>
            </w:pPr>
            <w:r>
              <w:rPr>
                <w:rFonts w:hint="eastAsia" w:ascii="宋体" w:hAnsi="宋体" w:cs="宋体"/>
                <w:color w:val="auto"/>
                <w:kern w:val="0"/>
                <w:sz w:val="20"/>
                <w:szCs w:val="20"/>
                <w:lang w:val="en-US" w:eastAsia="zh-CN"/>
              </w:rPr>
              <w:t>8</w:t>
            </w:r>
            <w:r>
              <w:rPr>
                <w:rFonts w:ascii="宋体" w:hAnsi="宋体" w:cs="宋体"/>
                <w:color w:val="auto"/>
                <w:kern w:val="0"/>
                <w:sz w:val="20"/>
                <w:szCs w:val="20"/>
              </w:rPr>
              <w:t>.消防、治安及意外事故处理方案：消防设施齐全、合理，</w:t>
            </w:r>
            <w:r>
              <w:rPr>
                <w:rFonts w:hint="eastAsia" w:ascii="宋体" w:hAnsi="宋体" w:cs="宋体"/>
                <w:color w:val="auto"/>
                <w:kern w:val="0"/>
                <w:sz w:val="20"/>
                <w:szCs w:val="20"/>
              </w:rPr>
              <w:t>生熟分区管理方案</w:t>
            </w:r>
            <w:r>
              <w:rPr>
                <w:rFonts w:ascii="宋体" w:hAnsi="宋体" w:cs="宋体"/>
                <w:color w:val="auto"/>
                <w:kern w:val="0"/>
                <w:sz w:val="20"/>
                <w:szCs w:val="20"/>
              </w:rPr>
              <w:t>、响应性、针对怀、可操作计划等，优计</w:t>
            </w:r>
            <w:r>
              <w:rPr>
                <w:rFonts w:hint="eastAsia" w:ascii="宋体" w:hAnsi="宋体" w:cs="宋体"/>
                <w:color w:val="auto"/>
                <w:kern w:val="0"/>
                <w:sz w:val="20"/>
                <w:szCs w:val="20"/>
                <w:lang w:val="en-US" w:eastAsia="zh-CN"/>
              </w:rPr>
              <w:t>3</w:t>
            </w:r>
            <w:r>
              <w:rPr>
                <w:rFonts w:ascii="宋体" w:hAnsi="宋体" w:cs="宋体"/>
                <w:color w:val="auto"/>
                <w:kern w:val="0"/>
                <w:sz w:val="20"/>
                <w:szCs w:val="20"/>
              </w:rPr>
              <w:t>分，良计</w:t>
            </w:r>
            <w:r>
              <w:rPr>
                <w:rFonts w:hint="eastAsia" w:ascii="宋体" w:hAnsi="宋体" w:cs="宋体"/>
                <w:color w:val="auto"/>
                <w:kern w:val="0"/>
                <w:sz w:val="20"/>
                <w:szCs w:val="20"/>
                <w:lang w:val="en-US" w:eastAsia="zh-CN"/>
              </w:rPr>
              <w:t>2</w:t>
            </w:r>
            <w:r>
              <w:rPr>
                <w:rFonts w:ascii="宋体" w:hAnsi="宋体" w:cs="宋体"/>
                <w:color w:val="auto"/>
                <w:kern w:val="0"/>
                <w:sz w:val="20"/>
                <w:szCs w:val="20"/>
              </w:rPr>
              <w:t>分，一般计</w:t>
            </w:r>
            <w:r>
              <w:rPr>
                <w:rFonts w:hint="eastAsia" w:ascii="宋体" w:hAnsi="宋体" w:cs="宋体"/>
                <w:color w:val="auto"/>
                <w:kern w:val="0"/>
                <w:sz w:val="20"/>
                <w:szCs w:val="20"/>
                <w:lang w:val="en-US" w:eastAsia="zh-CN"/>
              </w:rPr>
              <w:t>1</w:t>
            </w:r>
            <w:r>
              <w:rPr>
                <w:rFonts w:ascii="宋体" w:hAnsi="宋体" w:cs="宋体"/>
                <w:color w:val="auto"/>
                <w:kern w:val="0"/>
                <w:sz w:val="20"/>
                <w:szCs w:val="20"/>
              </w:rPr>
              <w:t>分，差计0分。</w:t>
            </w:r>
          </w:p>
          <w:p>
            <w:pPr>
              <w:widowControl/>
              <w:jc w:val="left"/>
              <w:textAlignment w:val="bottom"/>
              <w:rPr>
                <w:rFonts w:ascii="宋体" w:hAnsi="宋体" w:cs="宋体"/>
                <w:color w:val="auto"/>
                <w:sz w:val="20"/>
                <w:szCs w:val="20"/>
              </w:rPr>
            </w:pPr>
            <w:r>
              <w:rPr>
                <w:rFonts w:hint="eastAsia" w:ascii="宋体" w:hAnsi="宋体" w:cs="宋体"/>
                <w:color w:val="auto"/>
                <w:kern w:val="0"/>
                <w:sz w:val="20"/>
                <w:szCs w:val="20"/>
                <w:lang w:val="en-US" w:eastAsia="zh-CN"/>
              </w:rPr>
              <w:t>9</w:t>
            </w:r>
            <w:r>
              <w:rPr>
                <w:rFonts w:ascii="宋体" w:hAnsi="宋体" w:cs="宋体"/>
                <w:color w:val="auto"/>
                <w:kern w:val="0"/>
                <w:sz w:val="20"/>
                <w:szCs w:val="20"/>
              </w:rPr>
              <w:t>.环境保护管理方案：食堂环境、油烟排放处理、污水处理、餐厨垃圾分类处理等，优计</w:t>
            </w:r>
            <w:r>
              <w:rPr>
                <w:rFonts w:hint="eastAsia" w:ascii="宋体" w:hAnsi="宋体" w:cs="宋体"/>
                <w:color w:val="auto"/>
                <w:kern w:val="0"/>
                <w:sz w:val="20"/>
                <w:szCs w:val="20"/>
                <w:lang w:val="en-US" w:eastAsia="zh-CN"/>
              </w:rPr>
              <w:t>3</w:t>
            </w:r>
            <w:r>
              <w:rPr>
                <w:rFonts w:ascii="宋体" w:hAnsi="宋体" w:cs="宋体"/>
                <w:color w:val="auto"/>
                <w:kern w:val="0"/>
                <w:sz w:val="20"/>
                <w:szCs w:val="20"/>
              </w:rPr>
              <w:t>分，良计</w:t>
            </w:r>
            <w:r>
              <w:rPr>
                <w:rFonts w:hint="eastAsia" w:ascii="宋体" w:hAnsi="宋体" w:cs="宋体"/>
                <w:color w:val="auto"/>
                <w:kern w:val="0"/>
                <w:sz w:val="20"/>
                <w:szCs w:val="20"/>
                <w:lang w:val="en-US" w:eastAsia="zh-CN"/>
              </w:rPr>
              <w:t>2</w:t>
            </w:r>
            <w:r>
              <w:rPr>
                <w:rFonts w:ascii="宋体" w:hAnsi="宋体" w:cs="宋体"/>
                <w:color w:val="auto"/>
                <w:kern w:val="0"/>
                <w:sz w:val="20"/>
                <w:szCs w:val="20"/>
              </w:rPr>
              <w:t>分，一般计</w:t>
            </w:r>
            <w:r>
              <w:rPr>
                <w:rFonts w:hint="eastAsia" w:ascii="宋体" w:hAnsi="宋体" w:cs="宋体"/>
                <w:color w:val="auto"/>
                <w:kern w:val="0"/>
                <w:sz w:val="20"/>
                <w:szCs w:val="20"/>
                <w:lang w:val="en-US" w:eastAsia="zh-CN"/>
              </w:rPr>
              <w:t>1</w:t>
            </w:r>
            <w:r>
              <w:rPr>
                <w:rFonts w:ascii="宋体" w:hAnsi="宋体" w:cs="宋体"/>
                <w:color w:val="auto"/>
                <w:kern w:val="0"/>
                <w:sz w:val="20"/>
                <w:szCs w:val="20"/>
              </w:rPr>
              <w:t>分，差计0分。</w:t>
            </w:r>
          </w:p>
        </w:tc>
        <w:tc>
          <w:tcPr>
            <w:tcW w:w="1307"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auto"/>
                <w:sz w:val="20"/>
                <w:szCs w:val="20"/>
              </w:rPr>
            </w:pPr>
            <w:r>
              <w:rPr>
                <w:rFonts w:hint="eastAsia" w:ascii="宋体" w:hAnsi="宋体" w:cs="宋体"/>
                <w:color w:val="auto"/>
                <w:sz w:val="20"/>
                <w:szCs w:val="20"/>
              </w:rPr>
              <w:t>结合现有供餐条件和经营情况</w:t>
            </w:r>
          </w:p>
        </w:tc>
      </w:tr>
      <w:tr>
        <w:tblPrEx>
          <w:tblCellMar>
            <w:top w:w="0" w:type="dxa"/>
            <w:left w:w="108" w:type="dxa"/>
            <w:bottom w:w="0" w:type="dxa"/>
            <w:right w:w="108" w:type="dxa"/>
          </w:tblCellMar>
        </w:tblPrEx>
        <w:trPr>
          <w:trHeight w:val="2560" w:hRule="atLeast"/>
          <w:jc w:val="center"/>
        </w:trPr>
        <w:tc>
          <w:tcPr>
            <w:tcW w:w="627"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宋体" w:hAnsi="宋体" w:cs="宋体" w:eastAsiaTheme="minorEastAsia"/>
                <w:color w:val="auto"/>
                <w:sz w:val="20"/>
                <w:szCs w:val="20"/>
                <w:lang w:eastAsia="zh-CN"/>
              </w:rPr>
            </w:pPr>
            <w:r>
              <w:rPr>
                <w:rFonts w:hint="eastAsia" w:ascii="宋体" w:hAnsi="宋体" w:cs="宋体"/>
                <w:color w:val="auto"/>
                <w:sz w:val="20"/>
                <w:szCs w:val="20"/>
                <w:lang w:eastAsia="zh-CN"/>
              </w:rPr>
              <w:t xml:space="preserve"> </w:t>
            </w:r>
          </w:p>
        </w:tc>
        <w:tc>
          <w:tcPr>
            <w:tcW w:w="627"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eastAsiaTheme="minorEastAsia"/>
                <w:color w:val="auto"/>
                <w:sz w:val="20"/>
                <w:szCs w:val="20"/>
                <w:lang w:val="en-US" w:eastAsia="zh-CN"/>
              </w:rPr>
            </w:pPr>
            <w:r>
              <w:rPr>
                <w:rFonts w:hint="eastAsia" w:ascii="宋体" w:hAnsi="宋体" w:cs="宋体"/>
                <w:color w:val="auto"/>
                <w:sz w:val="20"/>
                <w:szCs w:val="20"/>
                <w:lang w:val="en-US" w:eastAsia="zh-CN"/>
              </w:rPr>
              <w:t>3</w:t>
            </w:r>
          </w:p>
        </w:tc>
        <w:tc>
          <w:tcPr>
            <w:tcW w:w="944"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sz w:val="20"/>
                <w:szCs w:val="20"/>
              </w:rPr>
            </w:pPr>
            <w:r>
              <w:rPr>
                <w:rFonts w:hint="eastAsia" w:ascii="宋体" w:hAnsi="宋体" w:cs="宋体"/>
                <w:color w:val="auto"/>
                <w:sz w:val="20"/>
                <w:szCs w:val="20"/>
              </w:rPr>
              <w:t>分区项目</w:t>
            </w:r>
          </w:p>
        </w:tc>
        <w:tc>
          <w:tcPr>
            <w:tcW w:w="518"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宋体" w:hAnsi="宋体" w:cs="宋体" w:eastAsiaTheme="minorEastAsia"/>
                <w:color w:val="auto"/>
                <w:sz w:val="20"/>
                <w:szCs w:val="20"/>
                <w:lang w:val="en-US" w:eastAsia="zh-CN"/>
              </w:rPr>
            </w:pPr>
            <w:r>
              <w:rPr>
                <w:rFonts w:hint="eastAsia" w:ascii="宋体" w:hAnsi="宋体" w:cs="宋体"/>
                <w:color w:val="auto"/>
                <w:kern w:val="0"/>
                <w:sz w:val="20"/>
                <w:szCs w:val="20"/>
                <w:lang w:val="en-US" w:eastAsia="zh-CN"/>
              </w:rPr>
              <w:t>5</w:t>
            </w:r>
          </w:p>
        </w:tc>
        <w:tc>
          <w:tcPr>
            <w:tcW w:w="47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left"/>
              <w:rPr>
                <w:rFonts w:ascii="宋体" w:hAnsi="宋体" w:cs="宋体"/>
                <w:color w:val="auto"/>
                <w:sz w:val="20"/>
                <w:szCs w:val="20"/>
              </w:rPr>
            </w:pPr>
            <w:r>
              <w:rPr>
                <w:rFonts w:ascii="宋体" w:hAnsi="宋体" w:cs="宋体"/>
                <w:color w:val="auto"/>
                <w:kern w:val="0"/>
                <w:sz w:val="20"/>
                <w:szCs w:val="20"/>
                <w:lang w:bidi="en-US"/>
              </w:rPr>
              <w:t>评标小组根据投标人提供的方案综合打分，科学合理的计</w:t>
            </w:r>
            <w:r>
              <w:rPr>
                <w:rFonts w:hint="eastAsia" w:ascii="宋体" w:hAnsi="宋体" w:cs="宋体"/>
                <w:color w:val="auto"/>
                <w:kern w:val="0"/>
                <w:sz w:val="20"/>
                <w:szCs w:val="20"/>
                <w:lang w:val="en-US" w:eastAsia="zh-CN" w:bidi="en-US"/>
              </w:rPr>
              <w:t>5</w:t>
            </w:r>
            <w:r>
              <w:rPr>
                <w:rFonts w:ascii="宋体" w:hAnsi="宋体" w:cs="宋体"/>
                <w:color w:val="auto"/>
                <w:kern w:val="0"/>
                <w:sz w:val="20"/>
                <w:szCs w:val="20"/>
                <w:lang w:bidi="en-US"/>
              </w:rPr>
              <w:t>分；较科学合理的计</w:t>
            </w:r>
            <w:r>
              <w:rPr>
                <w:rFonts w:hint="eastAsia" w:ascii="宋体" w:hAnsi="宋体" w:cs="宋体"/>
                <w:color w:val="auto"/>
                <w:kern w:val="0"/>
                <w:sz w:val="20"/>
                <w:szCs w:val="20"/>
                <w:lang w:val="en-US" w:eastAsia="zh-CN" w:bidi="en-US"/>
              </w:rPr>
              <w:t>3</w:t>
            </w:r>
            <w:r>
              <w:rPr>
                <w:rFonts w:ascii="宋体" w:hAnsi="宋体" w:cs="宋体"/>
                <w:color w:val="auto"/>
                <w:kern w:val="0"/>
                <w:sz w:val="20"/>
                <w:szCs w:val="20"/>
                <w:lang w:bidi="en-US"/>
              </w:rPr>
              <w:t>分；欠科学合理的计</w:t>
            </w:r>
            <w:r>
              <w:rPr>
                <w:rFonts w:hint="eastAsia" w:ascii="宋体" w:hAnsi="宋体" w:cs="宋体"/>
                <w:color w:val="auto"/>
                <w:kern w:val="0"/>
                <w:sz w:val="20"/>
                <w:szCs w:val="20"/>
                <w:lang w:val="en-US" w:eastAsia="zh-CN" w:bidi="en-US"/>
              </w:rPr>
              <w:t>1</w:t>
            </w:r>
            <w:r>
              <w:rPr>
                <w:rFonts w:ascii="宋体" w:hAnsi="宋体" w:cs="宋体"/>
                <w:color w:val="auto"/>
                <w:kern w:val="0"/>
                <w:sz w:val="20"/>
                <w:szCs w:val="20"/>
                <w:lang w:bidi="en-US"/>
              </w:rPr>
              <w:t>分；其他不计分。</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auto"/>
                <w:sz w:val="20"/>
                <w:szCs w:val="20"/>
              </w:rPr>
            </w:pPr>
            <w:r>
              <w:rPr>
                <w:rFonts w:hint="eastAsia" w:ascii="宋体" w:hAnsi="宋体" w:cs="宋体"/>
                <w:color w:val="auto"/>
                <w:sz w:val="20"/>
                <w:szCs w:val="20"/>
              </w:rPr>
              <w:t>须提供具体的改造方案及图纸，中标后必须按提供的施工方案、图纸与投标方确定，并</w:t>
            </w:r>
            <w:r>
              <w:rPr>
                <w:rFonts w:hint="eastAsia" w:ascii="宋体" w:hAnsi="宋体" w:cs="宋体"/>
                <w:color w:val="auto"/>
                <w:sz w:val="20"/>
                <w:szCs w:val="20"/>
                <w:lang w:eastAsia="zh-CN"/>
              </w:rPr>
              <w:t>按图纸要求</w:t>
            </w:r>
            <w:r>
              <w:rPr>
                <w:rFonts w:hint="eastAsia" w:ascii="宋体" w:hAnsi="宋体" w:cs="宋体"/>
                <w:color w:val="auto"/>
                <w:sz w:val="20"/>
                <w:szCs w:val="20"/>
              </w:rPr>
              <w:t>施行</w:t>
            </w:r>
            <w:r>
              <w:rPr>
                <w:rFonts w:hint="eastAsia" w:ascii="宋体" w:hAnsi="宋体" w:cs="宋体"/>
                <w:color w:val="auto"/>
                <w:sz w:val="20"/>
                <w:szCs w:val="20"/>
                <w:lang w:eastAsia="zh-CN"/>
              </w:rPr>
              <w:t>。</w:t>
            </w:r>
          </w:p>
        </w:tc>
      </w:tr>
      <w:tr>
        <w:tblPrEx>
          <w:tblCellMar>
            <w:top w:w="0" w:type="dxa"/>
            <w:left w:w="108" w:type="dxa"/>
            <w:bottom w:w="0" w:type="dxa"/>
            <w:right w:w="108" w:type="dxa"/>
          </w:tblCellMar>
        </w:tblPrEx>
        <w:trPr>
          <w:trHeight w:val="1319" w:hRule="atLeast"/>
          <w:jc w:val="center"/>
        </w:trPr>
        <w:tc>
          <w:tcPr>
            <w:tcW w:w="62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auto"/>
                <w:kern w:val="0"/>
                <w:sz w:val="20"/>
                <w:szCs w:val="20"/>
              </w:rPr>
            </w:pPr>
            <w:r>
              <w:rPr>
                <w:rFonts w:hint="eastAsia" w:ascii="宋体" w:hAnsi="宋体" w:cs="宋体"/>
                <w:color w:val="auto"/>
                <w:kern w:val="0"/>
                <w:sz w:val="20"/>
                <w:szCs w:val="20"/>
              </w:rPr>
              <w:t>商务部分</w:t>
            </w:r>
          </w:p>
          <w:p>
            <w:pPr>
              <w:widowControl/>
              <w:jc w:val="center"/>
              <w:textAlignment w:val="center"/>
              <w:rPr>
                <w:rFonts w:hint="default" w:ascii="宋体" w:hAnsi="宋体" w:cs="宋体"/>
                <w:color w:val="auto"/>
                <w:kern w:val="0"/>
                <w:sz w:val="20"/>
                <w:szCs w:val="20"/>
                <w:lang w:val="en-US"/>
              </w:rPr>
            </w:pPr>
            <w:r>
              <w:rPr>
                <w:rFonts w:hint="eastAsia" w:ascii="宋体" w:hAnsi="宋体" w:cs="宋体"/>
                <w:color w:val="auto"/>
                <w:kern w:val="0"/>
                <w:sz w:val="20"/>
                <w:szCs w:val="20"/>
                <w:lang w:val="en-US" w:eastAsia="zh-CN"/>
              </w:rPr>
              <w:t>35</w:t>
            </w:r>
            <w:r>
              <w:rPr>
                <w:rFonts w:hint="eastAsia" w:ascii="宋体" w:hAnsi="宋体" w:cs="宋体"/>
                <w:color w:val="auto"/>
                <w:kern w:val="0"/>
                <w:sz w:val="20"/>
                <w:szCs w:val="20"/>
              </w:rPr>
              <w:t>分</w:t>
            </w:r>
          </w:p>
          <w:p>
            <w:pPr>
              <w:widowControl/>
              <w:jc w:val="center"/>
              <w:textAlignment w:val="center"/>
              <w:rPr>
                <w:rFonts w:ascii="宋体" w:hAnsi="宋体" w:cs="宋体"/>
                <w:color w:val="auto"/>
                <w:kern w:val="0"/>
                <w:sz w:val="20"/>
                <w:szCs w:val="20"/>
              </w:rPr>
            </w:pP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eastAsia" w:ascii="宋体" w:hAnsi="宋体" w:cs="宋体" w:eastAsiaTheme="minorEastAsia"/>
                <w:color w:val="auto"/>
                <w:sz w:val="20"/>
                <w:szCs w:val="20"/>
                <w:lang w:eastAsia="zh-CN"/>
              </w:rPr>
            </w:pPr>
            <w:r>
              <w:rPr>
                <w:rFonts w:hint="eastAsia" w:ascii="宋体" w:hAnsi="宋体" w:cs="宋体"/>
                <w:color w:val="auto"/>
                <w:kern w:val="0"/>
                <w:sz w:val="20"/>
                <w:szCs w:val="20"/>
                <w:lang w:val="en-US" w:eastAsia="zh-CN"/>
              </w:rPr>
              <w:t>4</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注册资金</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eastAsia" w:ascii="宋体" w:hAnsi="宋体" w:cs="宋体" w:eastAsiaTheme="minorEastAsia"/>
                <w:color w:val="auto"/>
                <w:kern w:val="0"/>
                <w:sz w:val="20"/>
                <w:szCs w:val="20"/>
                <w:lang w:eastAsia="zh-CN"/>
              </w:rPr>
            </w:pPr>
            <w:r>
              <w:rPr>
                <w:rFonts w:hint="eastAsia" w:ascii="宋体" w:hAnsi="宋体" w:cs="宋体"/>
                <w:color w:val="auto"/>
                <w:kern w:val="0"/>
                <w:sz w:val="20"/>
                <w:szCs w:val="20"/>
                <w:lang w:val="en-US" w:eastAsia="zh-CN"/>
              </w:rPr>
              <w:t>5</w:t>
            </w:r>
          </w:p>
        </w:tc>
        <w:tc>
          <w:tcPr>
            <w:tcW w:w="47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300万元以上计</w:t>
            </w:r>
            <w:r>
              <w:rPr>
                <w:rFonts w:hint="eastAsia" w:ascii="宋体" w:hAnsi="宋体" w:cs="宋体"/>
                <w:color w:val="auto"/>
                <w:kern w:val="0"/>
                <w:sz w:val="20"/>
                <w:szCs w:val="20"/>
                <w:lang w:val="en-US" w:eastAsia="zh-CN"/>
              </w:rPr>
              <w:t>5</w:t>
            </w:r>
            <w:r>
              <w:rPr>
                <w:rFonts w:hint="eastAsia" w:ascii="宋体" w:hAnsi="宋体" w:cs="宋体"/>
                <w:color w:val="auto"/>
                <w:kern w:val="0"/>
                <w:sz w:val="20"/>
                <w:szCs w:val="20"/>
              </w:rPr>
              <w:t>分，300万-200万元内计</w:t>
            </w:r>
            <w:r>
              <w:rPr>
                <w:rFonts w:hint="eastAsia" w:ascii="宋体" w:hAnsi="宋体" w:cs="宋体"/>
                <w:color w:val="auto"/>
                <w:kern w:val="0"/>
                <w:sz w:val="20"/>
                <w:szCs w:val="20"/>
                <w:lang w:val="en-US" w:eastAsia="zh-CN"/>
              </w:rPr>
              <w:t>3</w:t>
            </w:r>
            <w:r>
              <w:rPr>
                <w:rFonts w:hint="eastAsia" w:ascii="宋体" w:hAnsi="宋体" w:cs="宋体"/>
                <w:color w:val="auto"/>
                <w:kern w:val="0"/>
                <w:sz w:val="20"/>
                <w:szCs w:val="20"/>
              </w:rPr>
              <w:t>分，200万元-100万元计1分，低</w:t>
            </w:r>
            <w:r>
              <w:rPr>
                <w:rFonts w:ascii="宋体" w:hAnsi="宋体" w:cs="宋体"/>
                <w:color w:val="auto"/>
                <w:kern w:val="0"/>
                <w:sz w:val="20"/>
                <w:szCs w:val="20"/>
              </w:rPr>
              <w:t>于</w:t>
            </w:r>
            <w:r>
              <w:rPr>
                <w:rFonts w:hint="eastAsia" w:ascii="宋体" w:hAnsi="宋体" w:cs="宋体"/>
                <w:color w:val="auto"/>
                <w:kern w:val="0"/>
                <w:sz w:val="20"/>
                <w:szCs w:val="20"/>
              </w:rPr>
              <w:t>100万</w:t>
            </w:r>
            <w:r>
              <w:rPr>
                <w:rFonts w:ascii="宋体" w:hAnsi="宋体" w:cs="宋体"/>
                <w:color w:val="auto"/>
                <w:kern w:val="0"/>
                <w:sz w:val="20"/>
                <w:szCs w:val="20"/>
              </w:rPr>
              <w:t>以下不计分</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hint="eastAsia" w:ascii="宋体" w:hAnsi="宋体" w:cs="宋体" w:eastAsiaTheme="minorEastAsia"/>
                <w:color w:val="auto"/>
                <w:sz w:val="20"/>
                <w:szCs w:val="20"/>
                <w:lang w:eastAsia="zh-CN"/>
              </w:rPr>
            </w:pPr>
            <w:r>
              <w:rPr>
                <w:rFonts w:hint="eastAsia" w:ascii="宋体" w:hAnsi="宋体" w:cs="宋体"/>
                <w:color w:val="auto"/>
                <w:sz w:val="20"/>
                <w:szCs w:val="20"/>
              </w:rPr>
              <w:t>提供证明文件</w:t>
            </w:r>
          </w:p>
        </w:tc>
      </w:tr>
      <w:tr>
        <w:tblPrEx>
          <w:tblCellMar>
            <w:top w:w="0" w:type="dxa"/>
            <w:left w:w="108" w:type="dxa"/>
            <w:bottom w:w="0" w:type="dxa"/>
            <w:right w:w="108" w:type="dxa"/>
          </w:tblCellMar>
        </w:tblPrEx>
        <w:trPr>
          <w:trHeight w:val="1461" w:hRule="atLeast"/>
          <w:jc w:val="center"/>
        </w:trPr>
        <w:tc>
          <w:tcPr>
            <w:tcW w:w="627" w:type="dxa"/>
            <w:vMerge w:val="continue"/>
            <w:tcBorders>
              <w:left w:val="single" w:color="000000" w:sz="4" w:space="0"/>
              <w:right w:val="single" w:color="000000" w:sz="4" w:space="0"/>
            </w:tcBorders>
            <w:vAlign w:val="center"/>
          </w:tcPr>
          <w:p>
            <w:pPr>
              <w:widowControl/>
              <w:jc w:val="center"/>
              <w:textAlignment w:val="center"/>
              <w:rPr>
                <w:rFonts w:ascii="宋体" w:hAnsi="宋体" w:cs="宋体"/>
                <w:color w:val="auto"/>
                <w:sz w:val="20"/>
                <w:szCs w:val="20"/>
              </w:rPr>
            </w:pP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eastAsia" w:ascii="宋体" w:hAnsi="宋体" w:cs="宋体" w:eastAsiaTheme="minorEastAsia"/>
                <w:color w:val="auto"/>
                <w:sz w:val="20"/>
                <w:szCs w:val="20"/>
                <w:lang w:eastAsia="zh-CN"/>
              </w:rPr>
            </w:pPr>
            <w:r>
              <w:rPr>
                <w:rFonts w:hint="eastAsia" w:ascii="宋体" w:hAnsi="宋体" w:cs="宋体"/>
                <w:color w:val="auto"/>
                <w:sz w:val="20"/>
                <w:szCs w:val="20"/>
                <w:lang w:val="en-US" w:eastAsia="zh-CN"/>
              </w:rPr>
              <w:t>6</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eastAsia" w:ascii="宋体" w:hAnsi="宋体" w:cs="宋体"/>
                <w:color w:val="auto"/>
                <w:kern w:val="0"/>
                <w:sz w:val="20"/>
                <w:szCs w:val="20"/>
              </w:rPr>
            </w:pPr>
            <w:r>
              <w:rPr>
                <w:rFonts w:hint="eastAsia" w:ascii="宋体" w:hAnsi="宋体" w:cs="宋体"/>
                <w:color w:val="auto"/>
                <w:kern w:val="0"/>
                <w:sz w:val="20"/>
                <w:szCs w:val="20"/>
              </w:rPr>
              <w:t>公司近2年财务报表</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宋体" w:hAnsi="宋体" w:cs="宋体" w:eastAsiaTheme="minorEastAsia"/>
                <w:color w:val="auto"/>
                <w:kern w:val="0"/>
                <w:sz w:val="20"/>
                <w:szCs w:val="20"/>
                <w:lang w:val="en-US" w:eastAsia="zh-CN"/>
              </w:rPr>
            </w:pPr>
            <w:r>
              <w:rPr>
                <w:rFonts w:hint="eastAsia" w:ascii="宋体" w:hAnsi="宋体" w:cs="宋体"/>
                <w:color w:val="FF0000"/>
                <w:kern w:val="0"/>
                <w:sz w:val="20"/>
                <w:szCs w:val="20"/>
                <w:lang w:val="en-US" w:eastAsia="zh-CN"/>
              </w:rPr>
              <w:t>4</w:t>
            </w:r>
          </w:p>
        </w:tc>
        <w:tc>
          <w:tcPr>
            <w:tcW w:w="47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提供经审计部门出具的20</w:t>
            </w:r>
            <w:r>
              <w:rPr>
                <w:rFonts w:hint="eastAsia" w:ascii="宋体" w:hAnsi="宋体" w:cs="宋体"/>
                <w:color w:val="auto"/>
                <w:kern w:val="0"/>
                <w:sz w:val="20"/>
                <w:szCs w:val="20"/>
                <w:lang w:val="en-US" w:eastAsia="zh-CN"/>
              </w:rPr>
              <w:t>20</w:t>
            </w:r>
            <w:r>
              <w:rPr>
                <w:rFonts w:hint="eastAsia" w:ascii="宋体" w:hAnsi="宋体" w:cs="宋体"/>
                <w:color w:val="auto"/>
                <w:kern w:val="0"/>
                <w:sz w:val="20"/>
                <w:szCs w:val="20"/>
              </w:rPr>
              <w:t>、20</w:t>
            </w:r>
            <w:r>
              <w:rPr>
                <w:rFonts w:hint="eastAsia" w:ascii="宋体" w:hAnsi="宋体" w:cs="宋体"/>
                <w:color w:val="auto"/>
                <w:kern w:val="0"/>
                <w:sz w:val="20"/>
                <w:szCs w:val="20"/>
                <w:lang w:val="en-US" w:eastAsia="zh-CN"/>
              </w:rPr>
              <w:t>21</w:t>
            </w:r>
            <w:r>
              <w:rPr>
                <w:rFonts w:hint="eastAsia" w:ascii="宋体" w:hAnsi="宋体" w:cs="宋体"/>
                <w:color w:val="auto"/>
                <w:kern w:val="0"/>
                <w:sz w:val="20"/>
                <w:szCs w:val="20"/>
              </w:rPr>
              <w:t>年两个年度</w:t>
            </w:r>
            <w:r>
              <w:rPr>
                <w:rFonts w:hint="eastAsia" w:ascii="宋体" w:hAnsi="宋体" w:cs="宋体"/>
                <w:color w:val="auto"/>
                <w:kern w:val="0"/>
                <w:sz w:val="20"/>
                <w:szCs w:val="20"/>
                <w:lang w:eastAsia="zh-CN"/>
              </w:rPr>
              <w:t>贴花</w:t>
            </w:r>
            <w:r>
              <w:rPr>
                <w:rFonts w:hint="eastAsia" w:ascii="宋体" w:hAnsi="宋体" w:cs="宋体"/>
                <w:color w:val="auto"/>
                <w:kern w:val="0"/>
                <w:sz w:val="20"/>
                <w:szCs w:val="20"/>
              </w:rPr>
              <w:t>财务报表（</w:t>
            </w:r>
            <w:r>
              <w:rPr>
                <w:rFonts w:hint="eastAsia" w:ascii="宋体" w:hAnsi="宋体" w:cs="宋体"/>
                <w:color w:val="auto"/>
                <w:kern w:val="0"/>
                <w:sz w:val="20"/>
                <w:szCs w:val="20"/>
                <w:lang w:eastAsia="zh-CN"/>
              </w:rPr>
              <w:t>至少包括</w:t>
            </w:r>
            <w:r>
              <w:rPr>
                <w:rFonts w:hint="eastAsia" w:ascii="宋体" w:hAnsi="宋体" w:cs="宋体"/>
                <w:color w:val="auto"/>
                <w:kern w:val="0"/>
                <w:sz w:val="20"/>
                <w:szCs w:val="20"/>
              </w:rPr>
              <w:t>资产负债表、损益表、</w:t>
            </w:r>
            <w:r>
              <w:rPr>
                <w:rFonts w:hint="eastAsia" w:ascii="宋体" w:hAnsi="宋体" w:cs="宋体"/>
                <w:color w:val="auto"/>
                <w:kern w:val="0"/>
                <w:sz w:val="20"/>
                <w:szCs w:val="20"/>
                <w:lang w:eastAsia="zh-CN"/>
              </w:rPr>
              <w:t>现金流量表</w:t>
            </w:r>
            <w:r>
              <w:rPr>
                <w:rFonts w:hint="eastAsia" w:ascii="宋体" w:hAnsi="宋体" w:cs="宋体"/>
                <w:color w:val="auto"/>
                <w:kern w:val="0"/>
                <w:sz w:val="20"/>
                <w:szCs w:val="20"/>
              </w:rPr>
              <w:t>）计</w:t>
            </w:r>
            <w:r>
              <w:rPr>
                <w:rFonts w:hint="eastAsia" w:ascii="宋体" w:hAnsi="宋体" w:cs="宋体"/>
                <w:color w:val="auto"/>
                <w:kern w:val="0"/>
                <w:sz w:val="20"/>
                <w:szCs w:val="20"/>
                <w:lang w:val="en-US" w:eastAsia="zh-CN"/>
              </w:rPr>
              <w:t>4</w:t>
            </w:r>
            <w:r>
              <w:rPr>
                <w:rFonts w:hint="eastAsia" w:ascii="宋体" w:hAnsi="宋体" w:cs="宋体"/>
                <w:color w:val="auto"/>
                <w:kern w:val="0"/>
                <w:sz w:val="20"/>
                <w:szCs w:val="20"/>
              </w:rPr>
              <w:t>分，提供一个年度计</w:t>
            </w:r>
            <w:r>
              <w:rPr>
                <w:rFonts w:hint="eastAsia" w:ascii="宋体" w:hAnsi="宋体" w:cs="宋体"/>
                <w:color w:val="auto"/>
                <w:kern w:val="0"/>
                <w:sz w:val="20"/>
                <w:szCs w:val="20"/>
                <w:lang w:val="en-US" w:eastAsia="zh-CN"/>
              </w:rPr>
              <w:t>2</w:t>
            </w:r>
            <w:r>
              <w:rPr>
                <w:rFonts w:hint="eastAsia" w:ascii="宋体" w:hAnsi="宋体" w:cs="宋体"/>
                <w:color w:val="auto"/>
                <w:kern w:val="0"/>
                <w:sz w:val="20"/>
                <w:szCs w:val="20"/>
              </w:rPr>
              <w:t>分，不提供不计分。                                        此项不累计计分，最高计</w:t>
            </w:r>
            <w:r>
              <w:rPr>
                <w:rFonts w:hint="eastAsia" w:ascii="宋体" w:hAnsi="宋体" w:cs="宋体"/>
                <w:color w:val="auto"/>
                <w:kern w:val="0"/>
                <w:sz w:val="20"/>
                <w:szCs w:val="20"/>
                <w:lang w:val="en-US" w:eastAsia="zh-CN"/>
              </w:rPr>
              <w:t>4</w:t>
            </w:r>
            <w:r>
              <w:rPr>
                <w:rFonts w:hint="eastAsia" w:ascii="宋体" w:hAnsi="宋体" w:cs="宋体"/>
                <w:color w:val="auto"/>
                <w:kern w:val="0"/>
                <w:sz w:val="20"/>
                <w:szCs w:val="20"/>
              </w:rPr>
              <w:t>分。</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hint="eastAsia" w:ascii="宋体" w:hAnsi="宋体" w:cs="宋体" w:eastAsiaTheme="minorEastAsia"/>
                <w:color w:val="auto"/>
                <w:sz w:val="20"/>
                <w:szCs w:val="20"/>
                <w:lang w:eastAsia="zh-CN"/>
              </w:rPr>
            </w:pPr>
          </w:p>
        </w:tc>
      </w:tr>
      <w:tr>
        <w:tblPrEx>
          <w:tblCellMar>
            <w:top w:w="0" w:type="dxa"/>
            <w:left w:w="108" w:type="dxa"/>
            <w:bottom w:w="0" w:type="dxa"/>
            <w:right w:w="108" w:type="dxa"/>
          </w:tblCellMar>
        </w:tblPrEx>
        <w:trPr>
          <w:trHeight w:val="1319" w:hRule="atLeast"/>
          <w:jc w:val="center"/>
        </w:trPr>
        <w:tc>
          <w:tcPr>
            <w:tcW w:w="627" w:type="dxa"/>
            <w:vMerge w:val="continue"/>
            <w:tcBorders>
              <w:left w:val="single" w:color="000000" w:sz="4" w:space="0"/>
              <w:right w:val="single" w:color="000000" w:sz="4" w:space="0"/>
            </w:tcBorders>
            <w:vAlign w:val="center"/>
          </w:tcPr>
          <w:p>
            <w:pPr>
              <w:widowControl/>
              <w:jc w:val="center"/>
              <w:textAlignment w:val="center"/>
              <w:rPr>
                <w:rFonts w:ascii="宋体" w:hAnsi="宋体" w:cs="宋体"/>
                <w:color w:val="auto"/>
                <w:sz w:val="20"/>
                <w:szCs w:val="20"/>
              </w:rPr>
            </w:pP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eastAsia" w:ascii="宋体" w:hAnsi="宋体" w:cs="宋体" w:eastAsiaTheme="minorEastAsia"/>
                <w:color w:val="auto"/>
                <w:sz w:val="20"/>
                <w:szCs w:val="20"/>
                <w:lang w:eastAsia="zh-CN"/>
              </w:rPr>
            </w:pPr>
            <w:r>
              <w:rPr>
                <w:rFonts w:hint="eastAsia" w:ascii="宋体" w:hAnsi="宋体" w:cs="宋体"/>
                <w:color w:val="auto"/>
                <w:sz w:val="20"/>
                <w:szCs w:val="20"/>
                <w:lang w:val="en-US" w:eastAsia="zh-CN"/>
              </w:rPr>
              <w:t>7</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主要业绩</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宋体" w:hAnsi="宋体" w:cs="宋体" w:eastAsiaTheme="minorEastAsia"/>
                <w:color w:val="auto"/>
                <w:sz w:val="20"/>
                <w:szCs w:val="20"/>
                <w:lang w:val="en-US" w:eastAsia="zh-CN"/>
              </w:rPr>
            </w:pPr>
            <w:r>
              <w:rPr>
                <w:rFonts w:hint="eastAsia" w:ascii="宋体" w:hAnsi="宋体" w:cs="宋体"/>
                <w:color w:val="auto"/>
                <w:sz w:val="20"/>
                <w:szCs w:val="20"/>
                <w:lang w:val="en-US" w:eastAsia="zh-CN"/>
              </w:rPr>
              <w:t>6</w:t>
            </w:r>
          </w:p>
        </w:tc>
        <w:tc>
          <w:tcPr>
            <w:tcW w:w="47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auto"/>
                <w:sz w:val="20"/>
                <w:szCs w:val="20"/>
              </w:rPr>
            </w:pPr>
            <w:r>
              <w:rPr>
                <w:rFonts w:hint="eastAsia" w:ascii="宋体" w:hAnsi="宋体" w:cs="宋体"/>
                <w:color w:val="auto"/>
                <w:sz w:val="20"/>
                <w:szCs w:val="20"/>
              </w:rPr>
              <w:t>公司所经营的</w:t>
            </w:r>
            <w:r>
              <w:rPr>
                <w:rFonts w:hint="eastAsia" w:ascii="宋体" w:hAnsi="宋体" w:cs="宋体"/>
                <w:color w:val="auto"/>
                <w:sz w:val="20"/>
                <w:szCs w:val="20"/>
                <w:lang w:eastAsia="zh-CN"/>
              </w:rPr>
              <w:t>类似</w:t>
            </w:r>
            <w:r>
              <w:rPr>
                <w:rFonts w:hint="eastAsia" w:ascii="宋体" w:hAnsi="宋体" w:cs="宋体"/>
                <w:color w:val="auto"/>
                <w:sz w:val="20"/>
                <w:szCs w:val="20"/>
              </w:rPr>
              <w:t>项目超过</w:t>
            </w:r>
            <w:r>
              <w:rPr>
                <w:rFonts w:hint="eastAsia" w:ascii="宋体" w:hAnsi="宋体" w:cs="宋体"/>
                <w:color w:val="auto"/>
                <w:sz w:val="20"/>
                <w:szCs w:val="20"/>
                <w:lang w:val="en-US" w:eastAsia="zh-CN"/>
              </w:rPr>
              <w:t>3</w:t>
            </w:r>
            <w:r>
              <w:rPr>
                <w:rFonts w:hint="eastAsia" w:ascii="宋体" w:hAnsi="宋体" w:cs="宋体"/>
                <w:color w:val="auto"/>
                <w:sz w:val="20"/>
                <w:szCs w:val="20"/>
              </w:rPr>
              <w:t>家，</w:t>
            </w:r>
            <w:r>
              <w:rPr>
                <w:rFonts w:hint="eastAsia" w:ascii="宋体" w:hAnsi="宋体" w:cs="宋体"/>
                <w:color w:val="auto"/>
                <w:sz w:val="20"/>
                <w:szCs w:val="20"/>
                <w:lang w:eastAsia="zh-CN"/>
              </w:rPr>
              <w:t>在本行业有业绩的，单个餐厅就餐人数达</w:t>
            </w:r>
            <w:r>
              <w:rPr>
                <w:rFonts w:hint="eastAsia" w:ascii="宋体" w:hAnsi="宋体" w:cs="宋体"/>
                <w:color w:val="auto"/>
                <w:sz w:val="20"/>
                <w:szCs w:val="20"/>
                <w:lang w:val="en-US" w:eastAsia="zh-CN"/>
              </w:rPr>
              <w:t>300人以上的</w:t>
            </w:r>
            <w:r>
              <w:rPr>
                <w:rFonts w:hint="eastAsia" w:ascii="宋体" w:hAnsi="宋体" w:cs="宋体"/>
                <w:color w:val="auto"/>
                <w:kern w:val="0"/>
                <w:sz w:val="20"/>
                <w:szCs w:val="20"/>
              </w:rPr>
              <w:t>。每提供一家计</w:t>
            </w:r>
            <w:r>
              <w:rPr>
                <w:rFonts w:hint="eastAsia" w:ascii="宋体" w:hAnsi="宋体" w:cs="宋体"/>
                <w:color w:val="auto"/>
                <w:kern w:val="0"/>
                <w:sz w:val="20"/>
                <w:szCs w:val="20"/>
                <w:lang w:val="en-US" w:eastAsia="zh-CN"/>
              </w:rPr>
              <w:t>2</w:t>
            </w:r>
            <w:r>
              <w:rPr>
                <w:rFonts w:hint="eastAsia" w:ascii="宋体" w:hAnsi="宋体" w:cs="宋体"/>
                <w:color w:val="auto"/>
                <w:kern w:val="0"/>
                <w:sz w:val="20"/>
                <w:szCs w:val="20"/>
              </w:rPr>
              <w:t>分，最高</w:t>
            </w:r>
            <w:r>
              <w:rPr>
                <w:rFonts w:hint="eastAsia" w:ascii="宋体" w:hAnsi="宋体" w:cs="宋体"/>
                <w:color w:val="auto"/>
                <w:kern w:val="0"/>
                <w:sz w:val="20"/>
                <w:szCs w:val="20"/>
                <w:lang w:val="en-US" w:eastAsia="zh-CN"/>
              </w:rPr>
              <w:t>6</w:t>
            </w:r>
            <w:r>
              <w:rPr>
                <w:rFonts w:hint="eastAsia" w:ascii="宋体" w:hAnsi="宋体" w:cs="宋体"/>
                <w:color w:val="auto"/>
                <w:kern w:val="0"/>
                <w:sz w:val="20"/>
                <w:szCs w:val="20"/>
              </w:rPr>
              <w:t>分，时间截止到202</w:t>
            </w:r>
            <w:r>
              <w:rPr>
                <w:rFonts w:hint="eastAsia" w:ascii="宋体" w:hAnsi="宋体" w:cs="宋体"/>
                <w:color w:val="auto"/>
                <w:kern w:val="0"/>
                <w:sz w:val="20"/>
                <w:szCs w:val="20"/>
                <w:lang w:val="en-US" w:eastAsia="zh-CN"/>
              </w:rPr>
              <w:t>1</w:t>
            </w:r>
            <w:r>
              <w:rPr>
                <w:rFonts w:hint="eastAsia" w:ascii="宋体" w:hAnsi="宋体" w:cs="宋体"/>
                <w:color w:val="auto"/>
                <w:kern w:val="0"/>
                <w:sz w:val="20"/>
                <w:szCs w:val="20"/>
              </w:rPr>
              <w:t>年1</w:t>
            </w:r>
            <w:r>
              <w:rPr>
                <w:rFonts w:hint="eastAsia" w:ascii="宋体" w:hAnsi="宋体" w:cs="宋体"/>
                <w:color w:val="auto"/>
                <w:kern w:val="0"/>
                <w:sz w:val="20"/>
                <w:szCs w:val="20"/>
                <w:lang w:val="en-US" w:eastAsia="zh-CN"/>
              </w:rPr>
              <w:t>2</w:t>
            </w:r>
            <w:r>
              <w:rPr>
                <w:rFonts w:hint="eastAsia" w:ascii="宋体" w:hAnsi="宋体" w:cs="宋体"/>
                <w:color w:val="auto"/>
                <w:kern w:val="0"/>
                <w:sz w:val="20"/>
                <w:szCs w:val="20"/>
              </w:rPr>
              <w:t>月3</w:t>
            </w:r>
            <w:r>
              <w:rPr>
                <w:rFonts w:hint="eastAsia" w:ascii="宋体" w:hAnsi="宋体" w:cs="宋体"/>
                <w:color w:val="auto"/>
                <w:kern w:val="0"/>
                <w:sz w:val="20"/>
                <w:szCs w:val="20"/>
                <w:lang w:val="en-US" w:eastAsia="zh-CN"/>
              </w:rPr>
              <w:t>1</w:t>
            </w:r>
            <w:r>
              <w:rPr>
                <w:rFonts w:hint="eastAsia" w:ascii="宋体" w:hAnsi="宋体" w:cs="宋体"/>
                <w:color w:val="auto"/>
                <w:kern w:val="0"/>
                <w:sz w:val="20"/>
                <w:szCs w:val="20"/>
              </w:rPr>
              <w:t>日止。凡提供虚假材料，一经查实取消中标资格。</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提供合同复印件（原件备查）</w:t>
            </w:r>
          </w:p>
        </w:tc>
      </w:tr>
      <w:tr>
        <w:tblPrEx>
          <w:tblCellMar>
            <w:top w:w="0" w:type="dxa"/>
            <w:left w:w="108" w:type="dxa"/>
            <w:bottom w:w="0" w:type="dxa"/>
            <w:right w:w="108" w:type="dxa"/>
          </w:tblCellMar>
        </w:tblPrEx>
        <w:trPr>
          <w:trHeight w:val="2870" w:hRule="atLeast"/>
          <w:jc w:val="center"/>
        </w:trPr>
        <w:tc>
          <w:tcPr>
            <w:tcW w:w="627" w:type="dxa"/>
            <w:vMerge w:val="continue"/>
            <w:tcBorders>
              <w:left w:val="single" w:color="000000" w:sz="4" w:space="0"/>
              <w:right w:val="single" w:color="000000" w:sz="4" w:space="0"/>
            </w:tcBorders>
            <w:vAlign w:val="center"/>
          </w:tcPr>
          <w:p>
            <w:pPr>
              <w:widowControl/>
              <w:jc w:val="center"/>
              <w:textAlignment w:val="center"/>
              <w:rPr>
                <w:rFonts w:ascii="宋体" w:hAnsi="宋体" w:cs="宋体"/>
                <w:color w:val="auto"/>
                <w:sz w:val="20"/>
                <w:szCs w:val="20"/>
              </w:rPr>
            </w:pP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eastAsia" w:ascii="宋体" w:hAnsi="宋体" w:cs="宋体" w:eastAsiaTheme="minorEastAsia"/>
                <w:color w:val="auto"/>
                <w:sz w:val="20"/>
                <w:szCs w:val="20"/>
                <w:lang w:eastAsia="zh-CN"/>
              </w:rPr>
            </w:pPr>
            <w:r>
              <w:rPr>
                <w:rFonts w:hint="eastAsia" w:ascii="宋体" w:hAnsi="宋体" w:cs="宋体"/>
                <w:color w:val="auto"/>
                <w:sz w:val="20"/>
                <w:szCs w:val="20"/>
                <w:lang w:val="en-US" w:eastAsia="zh-CN"/>
              </w:rPr>
              <w:t>8</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人员配备</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宋体" w:hAnsi="宋体" w:cs="宋体" w:eastAsiaTheme="minorEastAsia"/>
                <w:color w:val="auto"/>
                <w:sz w:val="20"/>
                <w:szCs w:val="20"/>
                <w:lang w:val="en-US" w:eastAsia="zh-CN"/>
              </w:rPr>
            </w:pPr>
            <w:r>
              <w:rPr>
                <w:rFonts w:hint="eastAsia" w:ascii="宋体" w:hAnsi="宋体" w:cs="宋体"/>
                <w:color w:val="auto"/>
                <w:kern w:val="0"/>
                <w:sz w:val="20"/>
                <w:szCs w:val="20"/>
                <w:lang w:val="en-US" w:eastAsia="zh-CN"/>
              </w:rPr>
              <w:t>10</w:t>
            </w:r>
          </w:p>
        </w:tc>
        <w:tc>
          <w:tcPr>
            <w:tcW w:w="47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rPr>
                <w:rFonts w:ascii="宋体" w:hAnsi="宋体" w:cs="宋体"/>
                <w:color w:val="auto"/>
                <w:kern w:val="0"/>
                <w:sz w:val="20"/>
                <w:szCs w:val="20"/>
              </w:rPr>
            </w:pPr>
            <w:r>
              <w:rPr>
                <w:rFonts w:ascii="宋体" w:hAnsi="宋体" w:cs="宋体"/>
                <w:color w:val="auto"/>
                <w:kern w:val="0"/>
                <w:sz w:val="20"/>
                <w:szCs w:val="20"/>
              </w:rPr>
              <w:t>1)</w:t>
            </w:r>
            <w:r>
              <w:rPr>
                <w:rFonts w:ascii="宋体" w:hAnsi="宋体" w:cs="宋体"/>
                <w:color w:val="auto"/>
                <w:kern w:val="0"/>
                <w:sz w:val="20"/>
                <w:szCs w:val="20"/>
              </w:rPr>
              <w:tab/>
            </w:r>
            <w:r>
              <w:rPr>
                <w:rFonts w:ascii="宋体" w:hAnsi="宋体" w:cs="宋体"/>
                <w:color w:val="auto"/>
                <w:kern w:val="0"/>
                <w:sz w:val="20"/>
                <w:szCs w:val="20"/>
              </w:rPr>
              <w:t>拟派项目经理须具有大专</w:t>
            </w:r>
            <w:r>
              <w:rPr>
                <w:rFonts w:hint="eastAsia" w:ascii="宋体" w:hAnsi="宋体" w:cs="宋体"/>
                <w:color w:val="auto"/>
                <w:kern w:val="0"/>
                <w:sz w:val="20"/>
                <w:szCs w:val="20"/>
              </w:rPr>
              <w:t>或</w:t>
            </w:r>
            <w:r>
              <w:rPr>
                <w:rFonts w:ascii="宋体" w:hAnsi="宋体" w:cs="宋体"/>
                <w:color w:val="auto"/>
                <w:kern w:val="0"/>
                <w:sz w:val="20"/>
                <w:szCs w:val="20"/>
              </w:rPr>
              <w:t>以上学历</w:t>
            </w:r>
            <w:r>
              <w:rPr>
                <w:rFonts w:hint="eastAsia" w:ascii="宋体" w:hAnsi="宋体" w:cs="宋体"/>
                <w:color w:val="auto"/>
                <w:kern w:val="0"/>
                <w:sz w:val="20"/>
                <w:szCs w:val="20"/>
              </w:rPr>
              <w:t>或</w:t>
            </w:r>
            <w:r>
              <w:rPr>
                <w:rFonts w:ascii="宋体" w:hAnsi="宋体" w:cs="宋体"/>
                <w:color w:val="auto"/>
                <w:kern w:val="0"/>
                <w:sz w:val="20"/>
                <w:szCs w:val="20"/>
              </w:rPr>
              <w:t>餐饮职业高级职业经理人证书，计</w:t>
            </w:r>
            <w:r>
              <w:rPr>
                <w:rFonts w:hint="eastAsia" w:ascii="宋体" w:hAnsi="宋体" w:cs="宋体"/>
                <w:color w:val="auto"/>
                <w:kern w:val="0"/>
                <w:sz w:val="20"/>
                <w:szCs w:val="20"/>
                <w:lang w:val="en-US" w:eastAsia="zh-CN"/>
              </w:rPr>
              <w:t>4</w:t>
            </w:r>
            <w:r>
              <w:rPr>
                <w:rFonts w:ascii="宋体" w:hAnsi="宋体" w:cs="宋体"/>
                <w:color w:val="auto"/>
                <w:kern w:val="0"/>
                <w:sz w:val="20"/>
                <w:szCs w:val="20"/>
              </w:rPr>
              <w:t>分。</w:t>
            </w:r>
          </w:p>
          <w:p>
            <w:pPr>
              <w:widowControl/>
              <w:jc w:val="left"/>
              <w:rPr>
                <w:rFonts w:ascii="宋体" w:hAnsi="宋体" w:cs="宋体"/>
                <w:color w:val="auto"/>
                <w:kern w:val="0"/>
                <w:sz w:val="20"/>
                <w:szCs w:val="20"/>
              </w:rPr>
            </w:pPr>
            <w:r>
              <w:rPr>
                <w:rFonts w:ascii="宋体" w:hAnsi="宋体" w:cs="宋体"/>
                <w:color w:val="auto"/>
                <w:kern w:val="0"/>
                <w:sz w:val="20"/>
                <w:szCs w:val="20"/>
              </w:rPr>
              <w:t>2)</w:t>
            </w:r>
            <w:r>
              <w:rPr>
                <w:rFonts w:ascii="宋体" w:hAnsi="宋体" w:cs="宋体"/>
                <w:color w:val="auto"/>
                <w:kern w:val="0"/>
                <w:sz w:val="20"/>
                <w:szCs w:val="20"/>
              </w:rPr>
              <w:tab/>
            </w:r>
            <w:r>
              <w:rPr>
                <w:rFonts w:ascii="宋体" w:hAnsi="宋体" w:cs="宋体"/>
                <w:color w:val="auto"/>
                <w:kern w:val="0"/>
                <w:sz w:val="20"/>
                <w:szCs w:val="20"/>
              </w:rPr>
              <w:t>拟派本项目团队人员中厨师长具有</w:t>
            </w:r>
            <w:r>
              <w:rPr>
                <w:rFonts w:hint="eastAsia" w:ascii="宋体" w:hAnsi="宋体" w:cs="宋体"/>
                <w:color w:val="auto"/>
                <w:kern w:val="0"/>
                <w:sz w:val="20"/>
                <w:szCs w:val="20"/>
              </w:rPr>
              <w:t>一</w:t>
            </w:r>
            <w:r>
              <w:rPr>
                <w:rFonts w:ascii="宋体" w:hAnsi="宋体" w:cs="宋体"/>
                <w:color w:val="auto"/>
                <w:kern w:val="0"/>
                <w:sz w:val="20"/>
                <w:szCs w:val="20"/>
              </w:rPr>
              <w:t>级厨师技师且具有营养师证书的，计</w:t>
            </w:r>
            <w:r>
              <w:rPr>
                <w:rFonts w:hint="eastAsia" w:ascii="宋体" w:hAnsi="宋体" w:cs="宋体"/>
                <w:color w:val="auto"/>
                <w:kern w:val="0"/>
                <w:sz w:val="20"/>
                <w:szCs w:val="20"/>
                <w:lang w:val="en-US" w:eastAsia="zh-CN"/>
              </w:rPr>
              <w:t>4</w:t>
            </w:r>
            <w:r>
              <w:rPr>
                <w:rFonts w:ascii="宋体" w:hAnsi="宋体" w:cs="宋体"/>
                <w:color w:val="auto"/>
                <w:kern w:val="0"/>
                <w:sz w:val="20"/>
                <w:szCs w:val="20"/>
              </w:rPr>
              <w:t>分。</w:t>
            </w:r>
            <w:r>
              <w:rPr>
                <w:rFonts w:hint="eastAsia" w:ascii="宋体" w:hAnsi="宋体" w:cs="宋体"/>
                <w:color w:val="auto"/>
                <w:kern w:val="0"/>
                <w:sz w:val="20"/>
                <w:szCs w:val="20"/>
              </w:rPr>
              <w:t>无营养师证记</w:t>
            </w:r>
            <w:r>
              <w:rPr>
                <w:rFonts w:hint="eastAsia" w:ascii="宋体" w:hAnsi="宋体" w:cs="宋体"/>
                <w:color w:val="auto"/>
                <w:kern w:val="0"/>
                <w:sz w:val="20"/>
                <w:szCs w:val="20"/>
                <w:lang w:val="en-US" w:eastAsia="zh-CN"/>
              </w:rPr>
              <w:t>0</w:t>
            </w:r>
            <w:r>
              <w:rPr>
                <w:rFonts w:hint="eastAsia" w:ascii="宋体" w:hAnsi="宋体" w:cs="宋体"/>
                <w:color w:val="auto"/>
                <w:kern w:val="0"/>
                <w:sz w:val="20"/>
                <w:szCs w:val="20"/>
              </w:rPr>
              <w:t>分。</w:t>
            </w:r>
          </w:p>
          <w:p>
            <w:pPr>
              <w:widowControl/>
              <w:jc w:val="left"/>
              <w:rPr>
                <w:rFonts w:ascii="宋体" w:hAnsi="宋体" w:cs="宋体"/>
                <w:color w:val="auto"/>
                <w:kern w:val="0"/>
                <w:sz w:val="20"/>
                <w:szCs w:val="20"/>
              </w:rPr>
            </w:pPr>
            <w:r>
              <w:rPr>
                <w:rFonts w:hint="eastAsia" w:ascii="宋体" w:hAnsi="宋体" w:cs="宋体"/>
                <w:color w:val="auto"/>
                <w:kern w:val="0"/>
                <w:sz w:val="20"/>
                <w:szCs w:val="20"/>
              </w:rPr>
              <w:t>3</w:t>
            </w:r>
            <w:r>
              <w:rPr>
                <w:rFonts w:ascii="宋体" w:hAnsi="宋体" w:cs="宋体"/>
                <w:color w:val="auto"/>
                <w:kern w:val="0"/>
                <w:sz w:val="20"/>
                <w:szCs w:val="20"/>
              </w:rPr>
              <w:t>)</w:t>
            </w:r>
            <w:r>
              <w:rPr>
                <w:rFonts w:ascii="宋体" w:hAnsi="宋体" w:cs="宋体"/>
                <w:color w:val="auto"/>
                <w:kern w:val="0"/>
                <w:sz w:val="20"/>
                <w:szCs w:val="20"/>
              </w:rPr>
              <w:tab/>
            </w:r>
            <w:r>
              <w:rPr>
                <w:rFonts w:ascii="宋体" w:hAnsi="宋体" w:cs="宋体"/>
                <w:color w:val="auto"/>
                <w:kern w:val="0"/>
                <w:sz w:val="20"/>
                <w:szCs w:val="20"/>
              </w:rPr>
              <w:t>拟派本项目团队人员中具有食品安全管理员证的，</w:t>
            </w:r>
            <w:r>
              <w:rPr>
                <w:rFonts w:hint="eastAsia" w:ascii="宋体" w:hAnsi="宋体" w:cs="宋体"/>
                <w:color w:val="auto"/>
                <w:kern w:val="0"/>
                <w:sz w:val="20"/>
                <w:szCs w:val="20"/>
              </w:rPr>
              <w:t>或其他相关职业证书</w:t>
            </w:r>
            <w:r>
              <w:rPr>
                <w:rFonts w:ascii="宋体" w:hAnsi="宋体" w:cs="宋体"/>
                <w:color w:val="auto"/>
                <w:kern w:val="0"/>
                <w:sz w:val="20"/>
                <w:szCs w:val="20"/>
              </w:rPr>
              <w:t>每个证书计</w:t>
            </w:r>
            <w:r>
              <w:rPr>
                <w:rFonts w:hint="eastAsia" w:ascii="宋体" w:hAnsi="宋体" w:cs="宋体"/>
                <w:color w:val="auto"/>
                <w:kern w:val="0"/>
                <w:sz w:val="20"/>
                <w:szCs w:val="20"/>
                <w:lang w:val="en-US" w:eastAsia="zh-CN"/>
              </w:rPr>
              <w:t>1</w:t>
            </w:r>
            <w:r>
              <w:rPr>
                <w:rFonts w:ascii="宋体" w:hAnsi="宋体" w:cs="宋体"/>
                <w:color w:val="auto"/>
                <w:kern w:val="0"/>
                <w:sz w:val="20"/>
                <w:szCs w:val="20"/>
              </w:rPr>
              <w:t>分，最多计</w:t>
            </w:r>
            <w:r>
              <w:rPr>
                <w:rFonts w:hint="eastAsia" w:ascii="宋体" w:hAnsi="宋体" w:cs="宋体"/>
                <w:color w:val="auto"/>
                <w:kern w:val="0"/>
                <w:sz w:val="20"/>
                <w:szCs w:val="20"/>
                <w:lang w:val="en-US" w:eastAsia="zh-CN"/>
              </w:rPr>
              <w:t>2</w:t>
            </w:r>
            <w:r>
              <w:rPr>
                <w:rFonts w:ascii="宋体" w:hAnsi="宋体" w:cs="宋体"/>
                <w:color w:val="auto"/>
                <w:kern w:val="0"/>
                <w:sz w:val="20"/>
                <w:szCs w:val="20"/>
              </w:rPr>
              <w:t>分。</w:t>
            </w:r>
          </w:p>
          <w:p>
            <w:pPr>
              <w:widowControl/>
              <w:jc w:val="left"/>
              <w:rPr>
                <w:rFonts w:ascii="宋体" w:hAnsi="宋体" w:cs="宋体"/>
                <w:color w:val="auto"/>
                <w:sz w:val="20"/>
                <w:szCs w:val="20"/>
              </w:rPr>
            </w:pPr>
            <w:r>
              <w:rPr>
                <w:rFonts w:ascii="宋体" w:hAnsi="宋体" w:cs="宋体"/>
                <w:color w:val="auto"/>
                <w:kern w:val="0"/>
                <w:sz w:val="20"/>
                <w:szCs w:val="20"/>
              </w:rPr>
              <w:t>（</w:t>
            </w:r>
            <w:r>
              <w:rPr>
                <w:rFonts w:hint="eastAsia" w:ascii="宋体" w:hAnsi="宋体" w:cs="宋体"/>
                <w:color w:val="auto"/>
                <w:kern w:val="0"/>
                <w:sz w:val="20"/>
                <w:szCs w:val="20"/>
              </w:rPr>
              <w:t>须</w:t>
            </w:r>
            <w:r>
              <w:rPr>
                <w:rFonts w:ascii="宋体" w:hAnsi="宋体" w:cs="宋体"/>
                <w:color w:val="auto"/>
                <w:kern w:val="0"/>
                <w:sz w:val="20"/>
                <w:szCs w:val="20"/>
              </w:rPr>
              <w:t>提供相关人员从业资格证书复印件及近3个月本单位社保证明，</w:t>
            </w:r>
            <w:r>
              <w:rPr>
                <w:rFonts w:hint="eastAsia" w:ascii="宋体" w:hAnsi="宋体" w:cs="宋体"/>
                <w:color w:val="auto"/>
                <w:kern w:val="0"/>
                <w:sz w:val="20"/>
                <w:szCs w:val="20"/>
              </w:rPr>
              <w:t>否则每一项扣除或不计分</w:t>
            </w:r>
            <w:r>
              <w:rPr>
                <w:rFonts w:ascii="宋体" w:hAnsi="宋体" w:cs="宋体"/>
                <w:color w:val="auto"/>
                <w:kern w:val="0"/>
                <w:sz w:val="20"/>
                <w:szCs w:val="20"/>
              </w:rPr>
              <w:t>）</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提供公司相关证件的证明材料（公司职员，原件备查），最高不超过</w:t>
            </w:r>
            <w:r>
              <w:rPr>
                <w:rFonts w:hint="eastAsia" w:ascii="宋体" w:hAnsi="宋体" w:cs="宋体"/>
                <w:color w:val="auto"/>
                <w:kern w:val="0"/>
                <w:sz w:val="20"/>
                <w:szCs w:val="20"/>
                <w:lang w:val="en-US" w:eastAsia="zh-CN"/>
              </w:rPr>
              <w:t>5</w:t>
            </w:r>
            <w:r>
              <w:rPr>
                <w:rFonts w:hint="eastAsia" w:ascii="宋体" w:hAnsi="宋体" w:cs="宋体"/>
                <w:color w:val="auto"/>
                <w:kern w:val="0"/>
                <w:sz w:val="20"/>
                <w:szCs w:val="20"/>
              </w:rPr>
              <w:t>分。</w:t>
            </w:r>
          </w:p>
        </w:tc>
      </w:tr>
      <w:tr>
        <w:tblPrEx>
          <w:tblCellMar>
            <w:top w:w="0" w:type="dxa"/>
            <w:left w:w="108" w:type="dxa"/>
            <w:bottom w:w="0" w:type="dxa"/>
            <w:right w:w="108" w:type="dxa"/>
          </w:tblCellMar>
        </w:tblPrEx>
        <w:trPr>
          <w:trHeight w:val="1319" w:hRule="atLeast"/>
          <w:jc w:val="center"/>
        </w:trPr>
        <w:tc>
          <w:tcPr>
            <w:tcW w:w="627" w:type="dxa"/>
            <w:vMerge w:val="continue"/>
            <w:tcBorders>
              <w:left w:val="single" w:color="000000" w:sz="4" w:space="0"/>
              <w:right w:val="single" w:color="000000" w:sz="4" w:space="0"/>
            </w:tcBorders>
            <w:vAlign w:val="center"/>
          </w:tcPr>
          <w:p>
            <w:pPr>
              <w:widowControl/>
              <w:jc w:val="center"/>
              <w:textAlignment w:val="center"/>
              <w:rPr>
                <w:rFonts w:ascii="宋体" w:hAnsi="宋体" w:cs="宋体"/>
                <w:color w:val="auto"/>
                <w:sz w:val="20"/>
                <w:szCs w:val="20"/>
              </w:rPr>
            </w:pP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eastAsia" w:ascii="宋体" w:hAnsi="宋体" w:cs="宋体" w:eastAsiaTheme="minorEastAsia"/>
                <w:color w:val="auto"/>
                <w:sz w:val="20"/>
                <w:szCs w:val="20"/>
                <w:lang w:eastAsia="zh-CN"/>
              </w:rPr>
            </w:pPr>
            <w:r>
              <w:rPr>
                <w:rFonts w:hint="eastAsia" w:ascii="宋体" w:hAnsi="宋体" w:cs="宋体"/>
                <w:color w:val="auto"/>
                <w:sz w:val="20"/>
                <w:szCs w:val="20"/>
                <w:lang w:val="en-US" w:eastAsia="zh-CN"/>
              </w:rPr>
              <w:t>9</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诚信度（信用等级评估）</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eastAsia" w:ascii="宋体" w:hAnsi="宋体" w:cs="宋体" w:eastAsiaTheme="minorEastAsia"/>
                <w:color w:val="auto"/>
                <w:sz w:val="20"/>
                <w:szCs w:val="20"/>
                <w:lang w:val="en-US" w:eastAsia="zh-CN"/>
              </w:rPr>
            </w:pPr>
            <w:r>
              <w:rPr>
                <w:rFonts w:hint="eastAsia" w:ascii="宋体" w:hAnsi="宋体" w:cs="宋体"/>
                <w:color w:val="auto"/>
                <w:kern w:val="0"/>
                <w:sz w:val="20"/>
                <w:szCs w:val="20"/>
                <w:lang w:val="en-US" w:eastAsia="zh-CN"/>
              </w:rPr>
              <w:t>5</w:t>
            </w:r>
          </w:p>
        </w:tc>
        <w:tc>
          <w:tcPr>
            <w:tcW w:w="47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auto"/>
                <w:kern w:val="0"/>
                <w:sz w:val="20"/>
                <w:szCs w:val="20"/>
              </w:rPr>
            </w:pPr>
            <w:r>
              <w:rPr>
                <w:rFonts w:hint="eastAsia" w:ascii="宋体" w:hAnsi="宋体" w:cs="宋体"/>
                <w:color w:val="auto"/>
                <w:kern w:val="0"/>
                <w:sz w:val="20"/>
                <w:szCs w:val="20"/>
              </w:rPr>
              <w:t>近3年（2017年-2019年）供应商获信用中国颁发的“AAA级重合同守信用企业”“AAA级诚信经营示范单位”、AAA级资信等级证书、AAA级重质量守信用单位、AAA级质量服务诚信单位，每项计1分，不提供不计。</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投标方提供相关的获奖证明材料，取最高级别，不累加</w:t>
            </w:r>
          </w:p>
        </w:tc>
      </w:tr>
      <w:tr>
        <w:tblPrEx>
          <w:tblCellMar>
            <w:top w:w="0" w:type="dxa"/>
            <w:left w:w="108" w:type="dxa"/>
            <w:bottom w:w="0" w:type="dxa"/>
            <w:right w:w="108" w:type="dxa"/>
          </w:tblCellMar>
        </w:tblPrEx>
        <w:trPr>
          <w:trHeight w:val="421" w:hRule="atLeast"/>
          <w:jc w:val="center"/>
        </w:trPr>
        <w:tc>
          <w:tcPr>
            <w:tcW w:w="627" w:type="dxa"/>
            <w:vMerge w:val="continue"/>
            <w:tcBorders>
              <w:left w:val="single" w:color="000000" w:sz="4" w:space="0"/>
              <w:right w:val="single" w:color="000000" w:sz="4" w:space="0"/>
            </w:tcBorders>
            <w:vAlign w:val="center"/>
          </w:tcPr>
          <w:p>
            <w:pPr>
              <w:widowControl/>
              <w:jc w:val="center"/>
              <w:textAlignment w:val="center"/>
              <w:rPr>
                <w:rFonts w:ascii="宋体" w:hAnsi="宋体" w:cs="宋体"/>
                <w:color w:val="auto"/>
                <w:sz w:val="20"/>
                <w:szCs w:val="20"/>
              </w:rPr>
            </w:pP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宋体" w:hAnsi="宋体" w:cs="宋体" w:eastAsiaTheme="minorEastAsia"/>
                <w:color w:val="auto"/>
                <w:sz w:val="20"/>
                <w:szCs w:val="20"/>
                <w:lang w:val="en-US" w:eastAsia="zh-CN"/>
              </w:rPr>
            </w:pPr>
            <w:r>
              <w:rPr>
                <w:rFonts w:hint="eastAsia" w:ascii="宋体" w:hAnsi="宋体" w:cs="宋体"/>
                <w:color w:val="auto"/>
                <w:sz w:val="20"/>
                <w:szCs w:val="20"/>
                <w:lang w:val="en-US" w:eastAsia="zh-CN"/>
              </w:rPr>
              <w:t>10</w:t>
            </w:r>
          </w:p>
        </w:tc>
        <w:tc>
          <w:tcPr>
            <w:tcW w:w="94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基地直采</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eastAsia" w:ascii="宋体" w:hAnsi="宋体" w:cs="宋体" w:eastAsiaTheme="minorEastAsia"/>
                <w:color w:val="auto"/>
                <w:sz w:val="20"/>
                <w:szCs w:val="20"/>
                <w:lang w:val="en-US" w:eastAsia="zh-CN"/>
              </w:rPr>
            </w:pPr>
            <w:r>
              <w:rPr>
                <w:rFonts w:hint="eastAsia" w:ascii="宋体" w:hAnsi="宋体" w:cs="宋体"/>
                <w:color w:val="auto"/>
                <w:kern w:val="0"/>
                <w:sz w:val="20"/>
                <w:szCs w:val="20"/>
                <w:lang w:val="en-US" w:eastAsia="zh-CN"/>
              </w:rPr>
              <w:t>5</w:t>
            </w:r>
          </w:p>
        </w:tc>
        <w:tc>
          <w:tcPr>
            <w:tcW w:w="47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建立蔬菜和农产品直供基地，没提供不计分。</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rPr>
              <w:t>提供证明材料</w:t>
            </w:r>
          </w:p>
        </w:tc>
      </w:tr>
      <w:tr>
        <w:tblPrEx>
          <w:tblCellMar>
            <w:top w:w="0" w:type="dxa"/>
            <w:left w:w="108" w:type="dxa"/>
            <w:bottom w:w="0" w:type="dxa"/>
            <w:right w:w="108" w:type="dxa"/>
          </w:tblCellMar>
        </w:tblPrEx>
        <w:trPr>
          <w:trHeight w:val="458" w:hRule="atLeast"/>
          <w:jc w:val="center"/>
        </w:trPr>
        <w:tc>
          <w:tcPr>
            <w:tcW w:w="219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eastAsiaTheme="minorEastAsia"/>
                <w:color w:val="auto"/>
                <w:sz w:val="20"/>
                <w:szCs w:val="20"/>
                <w:lang w:eastAsia="zh-CN"/>
              </w:rPr>
            </w:pPr>
            <w:r>
              <w:rPr>
                <w:rFonts w:hint="eastAsia" w:ascii="宋体" w:hAnsi="宋体" w:cs="宋体"/>
                <w:color w:val="auto"/>
                <w:kern w:val="0"/>
                <w:sz w:val="20"/>
                <w:szCs w:val="20"/>
                <w:lang w:eastAsia="zh-CN"/>
              </w:rPr>
              <w:t>合计</w:t>
            </w:r>
          </w:p>
        </w:tc>
        <w:tc>
          <w:tcPr>
            <w:tcW w:w="51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hint="default" w:ascii="宋体" w:hAnsi="宋体" w:cs="宋体" w:eastAsiaTheme="minorEastAsia"/>
                <w:color w:val="auto"/>
                <w:sz w:val="20"/>
                <w:szCs w:val="20"/>
                <w:lang w:val="en-US" w:eastAsia="zh-CN"/>
              </w:rPr>
            </w:pPr>
            <w:r>
              <w:rPr>
                <w:rFonts w:hint="eastAsia" w:ascii="宋体" w:hAnsi="宋体" w:cs="宋体"/>
                <w:color w:val="auto"/>
                <w:sz w:val="20"/>
                <w:szCs w:val="20"/>
                <w:lang w:val="en-US" w:eastAsia="zh-CN"/>
              </w:rPr>
              <w:t>100</w:t>
            </w:r>
          </w:p>
        </w:tc>
        <w:tc>
          <w:tcPr>
            <w:tcW w:w="471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left"/>
              <w:rPr>
                <w:rFonts w:ascii="宋体" w:hAnsi="宋体" w:cs="宋体"/>
                <w:color w:val="auto"/>
                <w:sz w:val="20"/>
                <w:szCs w:val="20"/>
              </w:rPr>
            </w:pP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auto"/>
                <w:sz w:val="20"/>
                <w:szCs w:val="20"/>
              </w:rPr>
            </w:pPr>
          </w:p>
        </w:tc>
      </w:tr>
    </w:tbl>
    <w:p>
      <w:pPr>
        <w:spacing w:line="580" w:lineRule="exact"/>
        <w:rPr>
          <w:rFonts w:ascii="仿宋" w:hAnsi="仿宋" w:eastAsia="仿宋" w:cs="仿宋"/>
          <w:color w:val="auto"/>
          <w:sz w:val="28"/>
          <w:szCs w:val="28"/>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pStyle w:val="9"/>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CE72E9"/>
    <w:multiLevelType w:val="singleLevel"/>
    <w:tmpl w:val="A5CE72E9"/>
    <w:lvl w:ilvl="0" w:tentative="0">
      <w:start w:val="9"/>
      <w:numFmt w:val="chineseCounting"/>
      <w:suff w:val="nothing"/>
      <w:lvlText w:val="%1、"/>
      <w:lvlJc w:val="left"/>
      <w:rPr>
        <w:rFonts w:hint="eastAsia"/>
      </w:rPr>
    </w:lvl>
  </w:abstractNum>
  <w:abstractNum w:abstractNumId="1">
    <w:nsid w:val="F184D422"/>
    <w:multiLevelType w:val="singleLevel"/>
    <w:tmpl w:val="F184D422"/>
    <w:lvl w:ilvl="0" w:tentative="0">
      <w:start w:val="2"/>
      <w:numFmt w:val="decimal"/>
      <w:lvlText w:val="%1."/>
      <w:lvlJc w:val="left"/>
      <w:pPr>
        <w:tabs>
          <w:tab w:val="left" w:pos="312"/>
        </w:tabs>
      </w:pPr>
    </w:lvl>
  </w:abstractNum>
  <w:abstractNum w:abstractNumId="2">
    <w:nsid w:val="FEBC7D5A"/>
    <w:multiLevelType w:val="singleLevel"/>
    <w:tmpl w:val="FEBC7D5A"/>
    <w:lvl w:ilvl="0" w:tentative="0">
      <w:start w:val="6"/>
      <w:numFmt w:val="decimal"/>
      <w:suff w:val="nothing"/>
      <w:lvlText w:val="（%1）"/>
      <w:lvlJc w:val="left"/>
    </w:lvl>
  </w:abstractNum>
  <w:abstractNum w:abstractNumId="3">
    <w:nsid w:val="04AC6E04"/>
    <w:multiLevelType w:val="singleLevel"/>
    <w:tmpl w:val="04AC6E04"/>
    <w:lvl w:ilvl="0" w:tentative="0">
      <w:start w:val="1"/>
      <w:numFmt w:val="chineseCounting"/>
      <w:suff w:val="nothing"/>
      <w:lvlText w:val="%1、"/>
      <w:lvlJc w:val="left"/>
      <w:rPr>
        <w:rFonts w:hint="eastAsia"/>
      </w:rPr>
    </w:lvl>
  </w:abstractNum>
  <w:abstractNum w:abstractNumId="4">
    <w:nsid w:val="2A346404"/>
    <w:multiLevelType w:val="singleLevel"/>
    <w:tmpl w:val="2A346404"/>
    <w:lvl w:ilvl="0" w:tentative="0">
      <w:start w:val="3"/>
      <w:numFmt w:val="decimal"/>
      <w:suff w:val="nothing"/>
      <w:lvlText w:val="%1、"/>
      <w:lvlJc w:val="left"/>
    </w:lvl>
  </w:abstractNum>
  <w:abstractNum w:abstractNumId="5">
    <w:nsid w:val="5B2FBFD7"/>
    <w:multiLevelType w:val="singleLevel"/>
    <w:tmpl w:val="5B2FBFD7"/>
    <w:lvl w:ilvl="0" w:tentative="0">
      <w:start w:val="1"/>
      <w:numFmt w:val="decimal"/>
      <w:suff w:val="nothing"/>
      <w:lvlText w:val="%1、"/>
      <w:lvlJc w:val="left"/>
    </w:lvl>
  </w:abstractNum>
  <w:abstractNum w:abstractNumId="6">
    <w:nsid w:val="7FFCAD9D"/>
    <w:multiLevelType w:val="singleLevel"/>
    <w:tmpl w:val="7FFCAD9D"/>
    <w:lvl w:ilvl="0" w:tentative="0">
      <w:start w:val="5"/>
      <w:numFmt w:val="decimal"/>
      <w:suff w:val="nothing"/>
      <w:lvlText w:val="%1、"/>
      <w:lvlJc w:val="left"/>
    </w:lvl>
  </w:abstractNum>
  <w:num w:numId="1">
    <w:abstractNumId w:val="6"/>
  </w:num>
  <w:num w:numId="2">
    <w:abstractNumId w:val="2"/>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E5F7C"/>
    <w:rsid w:val="00004061"/>
    <w:rsid w:val="00047340"/>
    <w:rsid w:val="000C231B"/>
    <w:rsid w:val="000D01E3"/>
    <w:rsid w:val="00164C5E"/>
    <w:rsid w:val="001B3972"/>
    <w:rsid w:val="001F19E7"/>
    <w:rsid w:val="001F234C"/>
    <w:rsid w:val="00205F22"/>
    <w:rsid w:val="00215789"/>
    <w:rsid w:val="00254DC9"/>
    <w:rsid w:val="00261745"/>
    <w:rsid w:val="0027094A"/>
    <w:rsid w:val="00282D34"/>
    <w:rsid w:val="002967F1"/>
    <w:rsid w:val="002F70F6"/>
    <w:rsid w:val="00335969"/>
    <w:rsid w:val="00354333"/>
    <w:rsid w:val="00382138"/>
    <w:rsid w:val="003B4700"/>
    <w:rsid w:val="003D3FEF"/>
    <w:rsid w:val="003E4A44"/>
    <w:rsid w:val="003F7554"/>
    <w:rsid w:val="004105FA"/>
    <w:rsid w:val="00410A62"/>
    <w:rsid w:val="0042229B"/>
    <w:rsid w:val="004547F2"/>
    <w:rsid w:val="00462759"/>
    <w:rsid w:val="004943D1"/>
    <w:rsid w:val="004B2194"/>
    <w:rsid w:val="004B6513"/>
    <w:rsid w:val="004C2F4A"/>
    <w:rsid w:val="004C3339"/>
    <w:rsid w:val="004E0884"/>
    <w:rsid w:val="004E4C91"/>
    <w:rsid w:val="00527983"/>
    <w:rsid w:val="00531719"/>
    <w:rsid w:val="0053171F"/>
    <w:rsid w:val="00545FD5"/>
    <w:rsid w:val="00566D8F"/>
    <w:rsid w:val="00591820"/>
    <w:rsid w:val="005A1F70"/>
    <w:rsid w:val="005A7B02"/>
    <w:rsid w:val="005E4B3E"/>
    <w:rsid w:val="0064243E"/>
    <w:rsid w:val="00661FB3"/>
    <w:rsid w:val="00662BC5"/>
    <w:rsid w:val="00694B82"/>
    <w:rsid w:val="006A13BE"/>
    <w:rsid w:val="006A2234"/>
    <w:rsid w:val="006C60D5"/>
    <w:rsid w:val="00740452"/>
    <w:rsid w:val="00755D11"/>
    <w:rsid w:val="007D630E"/>
    <w:rsid w:val="00814706"/>
    <w:rsid w:val="008569CC"/>
    <w:rsid w:val="0085785D"/>
    <w:rsid w:val="008C4ACF"/>
    <w:rsid w:val="008F1DD1"/>
    <w:rsid w:val="008F506B"/>
    <w:rsid w:val="00906D4C"/>
    <w:rsid w:val="009142D8"/>
    <w:rsid w:val="00995172"/>
    <w:rsid w:val="009C4999"/>
    <w:rsid w:val="009E775F"/>
    <w:rsid w:val="009F1228"/>
    <w:rsid w:val="00A5353D"/>
    <w:rsid w:val="00AA6269"/>
    <w:rsid w:val="00AB24AA"/>
    <w:rsid w:val="00AF527E"/>
    <w:rsid w:val="00B07744"/>
    <w:rsid w:val="00BB3211"/>
    <w:rsid w:val="00BC587B"/>
    <w:rsid w:val="00BD6249"/>
    <w:rsid w:val="00BD7985"/>
    <w:rsid w:val="00BE54E4"/>
    <w:rsid w:val="00BF71AF"/>
    <w:rsid w:val="00C51C23"/>
    <w:rsid w:val="00C53D91"/>
    <w:rsid w:val="00C60E69"/>
    <w:rsid w:val="00C64B59"/>
    <w:rsid w:val="00C75D2D"/>
    <w:rsid w:val="00C94B15"/>
    <w:rsid w:val="00CC7A6E"/>
    <w:rsid w:val="00CD19C2"/>
    <w:rsid w:val="00CD5BCB"/>
    <w:rsid w:val="00CE0BBC"/>
    <w:rsid w:val="00D13AAC"/>
    <w:rsid w:val="00D24F8E"/>
    <w:rsid w:val="00D36BAD"/>
    <w:rsid w:val="00D80CC4"/>
    <w:rsid w:val="00D92AF0"/>
    <w:rsid w:val="00E11167"/>
    <w:rsid w:val="00E327FD"/>
    <w:rsid w:val="00E33A34"/>
    <w:rsid w:val="00E624D2"/>
    <w:rsid w:val="00EF4EF8"/>
    <w:rsid w:val="00F3786C"/>
    <w:rsid w:val="00F621D2"/>
    <w:rsid w:val="00F80B61"/>
    <w:rsid w:val="00F841DC"/>
    <w:rsid w:val="00F96771"/>
    <w:rsid w:val="00FD3140"/>
    <w:rsid w:val="00FF1CFC"/>
    <w:rsid w:val="01334F08"/>
    <w:rsid w:val="01781144"/>
    <w:rsid w:val="01C377B8"/>
    <w:rsid w:val="0213755D"/>
    <w:rsid w:val="029004AC"/>
    <w:rsid w:val="02B80216"/>
    <w:rsid w:val="03C66D7A"/>
    <w:rsid w:val="03E91C3C"/>
    <w:rsid w:val="04FF212C"/>
    <w:rsid w:val="0507598A"/>
    <w:rsid w:val="059B1968"/>
    <w:rsid w:val="061201F7"/>
    <w:rsid w:val="06E417E3"/>
    <w:rsid w:val="07660D56"/>
    <w:rsid w:val="084C15CB"/>
    <w:rsid w:val="08697D75"/>
    <w:rsid w:val="08AD6B66"/>
    <w:rsid w:val="08E81855"/>
    <w:rsid w:val="09B24E20"/>
    <w:rsid w:val="0A682522"/>
    <w:rsid w:val="0AC7549A"/>
    <w:rsid w:val="0C2D5814"/>
    <w:rsid w:val="0C3C1409"/>
    <w:rsid w:val="0C693333"/>
    <w:rsid w:val="0C8554C3"/>
    <w:rsid w:val="0CC71FBD"/>
    <w:rsid w:val="0D2A67E2"/>
    <w:rsid w:val="0D9F7693"/>
    <w:rsid w:val="0DAA38C1"/>
    <w:rsid w:val="0DB83519"/>
    <w:rsid w:val="0E135706"/>
    <w:rsid w:val="0E1719F7"/>
    <w:rsid w:val="0ED80998"/>
    <w:rsid w:val="0F393653"/>
    <w:rsid w:val="102A469B"/>
    <w:rsid w:val="104F3F68"/>
    <w:rsid w:val="10572BB3"/>
    <w:rsid w:val="105C25E0"/>
    <w:rsid w:val="10BC618F"/>
    <w:rsid w:val="1107716C"/>
    <w:rsid w:val="117544FF"/>
    <w:rsid w:val="11A303C8"/>
    <w:rsid w:val="127040CC"/>
    <w:rsid w:val="12A01546"/>
    <w:rsid w:val="12C15786"/>
    <w:rsid w:val="13B7229E"/>
    <w:rsid w:val="14DD6A88"/>
    <w:rsid w:val="15EF4C25"/>
    <w:rsid w:val="164E6326"/>
    <w:rsid w:val="175D3FA8"/>
    <w:rsid w:val="179C03EA"/>
    <w:rsid w:val="183C413D"/>
    <w:rsid w:val="189E05F6"/>
    <w:rsid w:val="18AD7A7D"/>
    <w:rsid w:val="199C2723"/>
    <w:rsid w:val="19D72B2A"/>
    <w:rsid w:val="1AFE1DEF"/>
    <w:rsid w:val="1B0904A4"/>
    <w:rsid w:val="1C876B4E"/>
    <w:rsid w:val="1D987A67"/>
    <w:rsid w:val="1DC06B8F"/>
    <w:rsid w:val="1DF05D43"/>
    <w:rsid w:val="1E06452D"/>
    <w:rsid w:val="1E5D4451"/>
    <w:rsid w:val="1F141923"/>
    <w:rsid w:val="1F2D20ED"/>
    <w:rsid w:val="1FA54A4A"/>
    <w:rsid w:val="1FBF5608"/>
    <w:rsid w:val="203E4CEE"/>
    <w:rsid w:val="20545F7D"/>
    <w:rsid w:val="205A31E1"/>
    <w:rsid w:val="208B0755"/>
    <w:rsid w:val="20A41A8B"/>
    <w:rsid w:val="211718B7"/>
    <w:rsid w:val="2181308D"/>
    <w:rsid w:val="21DF4D2B"/>
    <w:rsid w:val="237A1970"/>
    <w:rsid w:val="239E0A14"/>
    <w:rsid w:val="23CC3F80"/>
    <w:rsid w:val="241D3BAD"/>
    <w:rsid w:val="24E967B5"/>
    <w:rsid w:val="250C0222"/>
    <w:rsid w:val="25AA194F"/>
    <w:rsid w:val="2627572E"/>
    <w:rsid w:val="28266E0F"/>
    <w:rsid w:val="284C6408"/>
    <w:rsid w:val="288602EB"/>
    <w:rsid w:val="28910733"/>
    <w:rsid w:val="28CF034D"/>
    <w:rsid w:val="29433385"/>
    <w:rsid w:val="29CC6496"/>
    <w:rsid w:val="29E41F6C"/>
    <w:rsid w:val="2A8F1080"/>
    <w:rsid w:val="2AAE31A1"/>
    <w:rsid w:val="2AB42F63"/>
    <w:rsid w:val="2B2A4DFB"/>
    <w:rsid w:val="2B561BEB"/>
    <w:rsid w:val="2D0C40D0"/>
    <w:rsid w:val="2D874116"/>
    <w:rsid w:val="2DB20071"/>
    <w:rsid w:val="2DB26D68"/>
    <w:rsid w:val="2DB864D8"/>
    <w:rsid w:val="2DD90EBD"/>
    <w:rsid w:val="2E87542D"/>
    <w:rsid w:val="2EC76F43"/>
    <w:rsid w:val="2FE12ADD"/>
    <w:rsid w:val="300F62B5"/>
    <w:rsid w:val="30267DBB"/>
    <w:rsid w:val="303A5239"/>
    <w:rsid w:val="3047679F"/>
    <w:rsid w:val="30770017"/>
    <w:rsid w:val="31711E03"/>
    <w:rsid w:val="32562664"/>
    <w:rsid w:val="32700042"/>
    <w:rsid w:val="33072163"/>
    <w:rsid w:val="330F6C4A"/>
    <w:rsid w:val="333410E3"/>
    <w:rsid w:val="33BC203B"/>
    <w:rsid w:val="33FF0B2E"/>
    <w:rsid w:val="34765D7F"/>
    <w:rsid w:val="34CC64BD"/>
    <w:rsid w:val="355C57E8"/>
    <w:rsid w:val="36102497"/>
    <w:rsid w:val="36A22794"/>
    <w:rsid w:val="36E210ED"/>
    <w:rsid w:val="376E08C8"/>
    <w:rsid w:val="3785465D"/>
    <w:rsid w:val="380A4B14"/>
    <w:rsid w:val="38694B6E"/>
    <w:rsid w:val="38C904AC"/>
    <w:rsid w:val="38DC6CA4"/>
    <w:rsid w:val="395E5D91"/>
    <w:rsid w:val="3A00379C"/>
    <w:rsid w:val="3A69012D"/>
    <w:rsid w:val="3B143534"/>
    <w:rsid w:val="3BBC1193"/>
    <w:rsid w:val="3BDE5F7C"/>
    <w:rsid w:val="3BF652B9"/>
    <w:rsid w:val="3C6B0CC0"/>
    <w:rsid w:val="3D25585E"/>
    <w:rsid w:val="3D9D44C3"/>
    <w:rsid w:val="3E7A593D"/>
    <w:rsid w:val="3EBE2135"/>
    <w:rsid w:val="3F5D194E"/>
    <w:rsid w:val="3F660619"/>
    <w:rsid w:val="40905D53"/>
    <w:rsid w:val="418A66E5"/>
    <w:rsid w:val="41FC6CD1"/>
    <w:rsid w:val="420A1906"/>
    <w:rsid w:val="422918BD"/>
    <w:rsid w:val="42402E61"/>
    <w:rsid w:val="42574A3C"/>
    <w:rsid w:val="42653FD2"/>
    <w:rsid w:val="42717E7B"/>
    <w:rsid w:val="42745C30"/>
    <w:rsid w:val="427D7CA2"/>
    <w:rsid w:val="42B27C2B"/>
    <w:rsid w:val="42D04D2D"/>
    <w:rsid w:val="434E7BEF"/>
    <w:rsid w:val="43AF1E6F"/>
    <w:rsid w:val="43D35023"/>
    <w:rsid w:val="442904CA"/>
    <w:rsid w:val="444C5CBE"/>
    <w:rsid w:val="455B6B6A"/>
    <w:rsid w:val="45A52922"/>
    <w:rsid w:val="45D47204"/>
    <w:rsid w:val="46121D14"/>
    <w:rsid w:val="46DF70EC"/>
    <w:rsid w:val="46F3541D"/>
    <w:rsid w:val="47142621"/>
    <w:rsid w:val="474927B8"/>
    <w:rsid w:val="47802144"/>
    <w:rsid w:val="47A04ACD"/>
    <w:rsid w:val="48283FA4"/>
    <w:rsid w:val="48F350D1"/>
    <w:rsid w:val="493C6F04"/>
    <w:rsid w:val="49BC1967"/>
    <w:rsid w:val="49BD0E59"/>
    <w:rsid w:val="49EE4BC8"/>
    <w:rsid w:val="4AD827D0"/>
    <w:rsid w:val="4AE958DF"/>
    <w:rsid w:val="4B3A3148"/>
    <w:rsid w:val="4B8F524A"/>
    <w:rsid w:val="4B942BB2"/>
    <w:rsid w:val="4BA42EA7"/>
    <w:rsid w:val="4C1564BE"/>
    <w:rsid w:val="4C681932"/>
    <w:rsid w:val="4C753CCF"/>
    <w:rsid w:val="4C845D75"/>
    <w:rsid w:val="4CA92304"/>
    <w:rsid w:val="4CC721BC"/>
    <w:rsid w:val="4D37039C"/>
    <w:rsid w:val="4DB6364F"/>
    <w:rsid w:val="4DEA462C"/>
    <w:rsid w:val="4E012B9F"/>
    <w:rsid w:val="4E1263F7"/>
    <w:rsid w:val="4EC125F6"/>
    <w:rsid w:val="4EEF2A66"/>
    <w:rsid w:val="504C6821"/>
    <w:rsid w:val="50BE7D72"/>
    <w:rsid w:val="512C18DC"/>
    <w:rsid w:val="516F4370"/>
    <w:rsid w:val="518F2A8C"/>
    <w:rsid w:val="51A966A8"/>
    <w:rsid w:val="523302EC"/>
    <w:rsid w:val="526037F9"/>
    <w:rsid w:val="53541182"/>
    <w:rsid w:val="53756959"/>
    <w:rsid w:val="53C509EF"/>
    <w:rsid w:val="53D004E8"/>
    <w:rsid w:val="54017EE8"/>
    <w:rsid w:val="54097612"/>
    <w:rsid w:val="54DE2656"/>
    <w:rsid w:val="55153E14"/>
    <w:rsid w:val="55B6370E"/>
    <w:rsid w:val="55BF6A67"/>
    <w:rsid w:val="561F7505"/>
    <w:rsid w:val="57457304"/>
    <w:rsid w:val="57AD1EC7"/>
    <w:rsid w:val="57FB6A19"/>
    <w:rsid w:val="580B5F93"/>
    <w:rsid w:val="58711142"/>
    <w:rsid w:val="58914C16"/>
    <w:rsid w:val="58A837E2"/>
    <w:rsid w:val="58B14CFB"/>
    <w:rsid w:val="58CE1431"/>
    <w:rsid w:val="58E76361"/>
    <w:rsid w:val="599B3347"/>
    <w:rsid w:val="59A768D3"/>
    <w:rsid w:val="59C56616"/>
    <w:rsid w:val="5A572F8E"/>
    <w:rsid w:val="5B642BD3"/>
    <w:rsid w:val="5BB37538"/>
    <w:rsid w:val="5BF82894"/>
    <w:rsid w:val="5C0013F6"/>
    <w:rsid w:val="5C1B4F2F"/>
    <w:rsid w:val="5DAF4BBB"/>
    <w:rsid w:val="5DCB1D21"/>
    <w:rsid w:val="5DF651F1"/>
    <w:rsid w:val="5EC90488"/>
    <w:rsid w:val="5F0E03B6"/>
    <w:rsid w:val="5F1930BF"/>
    <w:rsid w:val="5FB52C88"/>
    <w:rsid w:val="5FFF5854"/>
    <w:rsid w:val="600A4D82"/>
    <w:rsid w:val="602446F7"/>
    <w:rsid w:val="602C10DD"/>
    <w:rsid w:val="60A02C73"/>
    <w:rsid w:val="611C2FBF"/>
    <w:rsid w:val="61DB2AC0"/>
    <w:rsid w:val="62866C0D"/>
    <w:rsid w:val="62873FBC"/>
    <w:rsid w:val="62D104C2"/>
    <w:rsid w:val="63912FAC"/>
    <w:rsid w:val="63A973CC"/>
    <w:rsid w:val="63AC10CF"/>
    <w:rsid w:val="63B35C5F"/>
    <w:rsid w:val="63BE7D31"/>
    <w:rsid w:val="643571FA"/>
    <w:rsid w:val="64652D57"/>
    <w:rsid w:val="646B1087"/>
    <w:rsid w:val="64917820"/>
    <w:rsid w:val="654823B8"/>
    <w:rsid w:val="655D22DD"/>
    <w:rsid w:val="65966BD5"/>
    <w:rsid w:val="65FA4287"/>
    <w:rsid w:val="661806FB"/>
    <w:rsid w:val="665E71A4"/>
    <w:rsid w:val="671521F7"/>
    <w:rsid w:val="672B7755"/>
    <w:rsid w:val="67302189"/>
    <w:rsid w:val="67FC76A6"/>
    <w:rsid w:val="683F45C6"/>
    <w:rsid w:val="686D773B"/>
    <w:rsid w:val="68945B31"/>
    <w:rsid w:val="68C8729C"/>
    <w:rsid w:val="69076303"/>
    <w:rsid w:val="693E75BF"/>
    <w:rsid w:val="6AD13C17"/>
    <w:rsid w:val="6AF33EE6"/>
    <w:rsid w:val="6B6B6AFE"/>
    <w:rsid w:val="6C616D65"/>
    <w:rsid w:val="6CE87EE1"/>
    <w:rsid w:val="6D400035"/>
    <w:rsid w:val="6D910891"/>
    <w:rsid w:val="6E551509"/>
    <w:rsid w:val="6E7361E8"/>
    <w:rsid w:val="6EA57F2B"/>
    <w:rsid w:val="6EE3511C"/>
    <w:rsid w:val="712B7C97"/>
    <w:rsid w:val="713003C1"/>
    <w:rsid w:val="713E119C"/>
    <w:rsid w:val="71B03B5A"/>
    <w:rsid w:val="7306762B"/>
    <w:rsid w:val="73257D32"/>
    <w:rsid w:val="737A3B75"/>
    <w:rsid w:val="74640AAD"/>
    <w:rsid w:val="748B6C83"/>
    <w:rsid w:val="74C50E20"/>
    <w:rsid w:val="751C2B07"/>
    <w:rsid w:val="75427EAC"/>
    <w:rsid w:val="754D1541"/>
    <w:rsid w:val="75B44DAF"/>
    <w:rsid w:val="768D0E11"/>
    <w:rsid w:val="77A10DE8"/>
    <w:rsid w:val="77B63A3B"/>
    <w:rsid w:val="78786EBF"/>
    <w:rsid w:val="78CB3C2A"/>
    <w:rsid w:val="792E1AFF"/>
    <w:rsid w:val="793C47E7"/>
    <w:rsid w:val="79724455"/>
    <w:rsid w:val="79E611E6"/>
    <w:rsid w:val="7A0A26B5"/>
    <w:rsid w:val="7BAF51F0"/>
    <w:rsid w:val="7BB066A9"/>
    <w:rsid w:val="7C8A307B"/>
    <w:rsid w:val="7CF03A0A"/>
    <w:rsid w:val="7E070E9D"/>
    <w:rsid w:val="7E6A0842"/>
    <w:rsid w:val="7F0C2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tabs>
        <w:tab w:val="left" w:pos="1380"/>
      </w:tabs>
      <w:suppressAutoHyphens/>
      <w:spacing w:before="260" w:after="260" w:line="413" w:lineRule="auto"/>
      <w:ind w:left="1380" w:hanging="420"/>
      <w:jc w:val="left"/>
      <w:textAlignment w:val="baseline"/>
      <w:outlineLvl w:val="1"/>
    </w:pPr>
    <w:rPr>
      <w:rFonts w:ascii="Arial" w:hAnsi="Arial" w:eastAsia="黑体" w:cs="Tahoma"/>
      <w:b/>
      <w:bCs/>
      <w:w w:val="80"/>
      <w:kern w:val="1"/>
      <w:sz w:val="32"/>
      <w:szCs w:val="32"/>
    </w:rPr>
  </w:style>
  <w:style w:type="paragraph" w:styleId="4">
    <w:name w:val="heading 3"/>
    <w:basedOn w:val="1"/>
    <w:next w:val="1"/>
    <w:qFormat/>
    <w:uiPriority w:val="0"/>
    <w:pPr>
      <w:keepNext/>
      <w:keepLines/>
      <w:tabs>
        <w:tab w:val="left" w:pos="1800"/>
      </w:tabs>
      <w:suppressAutoHyphens/>
      <w:spacing w:before="260" w:after="260" w:line="413" w:lineRule="auto"/>
      <w:ind w:left="1800" w:hanging="420"/>
      <w:jc w:val="left"/>
      <w:textAlignment w:val="baseline"/>
      <w:outlineLvl w:val="2"/>
    </w:pPr>
    <w:rPr>
      <w:rFonts w:cs="Tahoma"/>
      <w:b/>
      <w:bCs/>
      <w:w w:val="80"/>
      <w:kern w:val="1"/>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0"/>
    <w:pPr>
      <w:jc w:val="left"/>
    </w:pPr>
  </w:style>
  <w:style w:type="paragraph" w:styleId="6">
    <w:name w:val="Body Text Indent"/>
    <w:basedOn w:val="1"/>
    <w:qFormat/>
    <w:uiPriority w:val="0"/>
    <w:pPr>
      <w:ind w:firstLine="480"/>
    </w:pPr>
    <w:rPr>
      <w:rFonts w:ascii="宋体" w:hAnsi="宋体"/>
      <w:sz w:val="30"/>
    </w:rPr>
  </w:style>
  <w:style w:type="paragraph" w:styleId="7">
    <w:name w:val="Date"/>
    <w:basedOn w:val="1"/>
    <w:next w:val="1"/>
    <w:qFormat/>
    <w:uiPriority w:val="0"/>
    <w:pPr>
      <w:ind w:left="100" w:leftChars="2500"/>
    </w:pPr>
    <w:rPr>
      <w:rFonts w:ascii="楷体_GB2312"/>
      <w:sz w:val="36"/>
    </w:rPr>
  </w:style>
  <w:style w:type="paragraph" w:styleId="8">
    <w:name w:val="Balloon Text"/>
    <w:basedOn w:val="1"/>
    <w:link w:val="21"/>
    <w:qFormat/>
    <w:uiPriority w:val="0"/>
    <w:rPr>
      <w:sz w:val="18"/>
      <w:szCs w:val="18"/>
    </w:rPr>
  </w:style>
  <w:style w:type="paragraph" w:styleId="9">
    <w:name w:val="footer"/>
    <w:basedOn w:val="1"/>
    <w:link w:val="23"/>
    <w:unhideWhenUsed/>
    <w:qFormat/>
    <w:uiPriority w:val="0"/>
    <w:pPr>
      <w:tabs>
        <w:tab w:val="center" w:pos="4153"/>
        <w:tab w:val="right" w:pos="8306"/>
      </w:tabs>
      <w:snapToGrid w:val="0"/>
      <w:jc w:val="left"/>
    </w:pPr>
    <w:rPr>
      <w:sz w:val="18"/>
      <w:szCs w:val="18"/>
    </w:rPr>
  </w:style>
  <w:style w:type="paragraph" w:styleId="10">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3"/>
    <w:next w:val="1"/>
    <w:qFormat/>
    <w:uiPriority w:val="0"/>
    <w:pPr>
      <w:spacing w:before="0" w:after="0" w:line="240" w:lineRule="auto"/>
    </w:pPr>
    <w:rPr>
      <w:sz w:val="24"/>
    </w:rPr>
  </w:style>
  <w:style w:type="paragraph" w:styleId="12">
    <w:name w:val="toc 2"/>
    <w:basedOn w:val="1"/>
    <w:next w:val="1"/>
    <w:qFormat/>
    <w:uiPriority w:val="0"/>
    <w:pPr>
      <w:ind w:left="420" w:leftChars="200"/>
    </w:pPr>
  </w:style>
  <w:style w:type="paragraph" w:styleId="13">
    <w:name w:val="Body Text 2"/>
    <w:basedOn w:val="1"/>
    <w:qFormat/>
    <w:uiPriority w:val="0"/>
    <w:rPr>
      <w:rFonts w:ascii="宋体" w:hAnsi="宋体"/>
      <w:sz w:val="30"/>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6"/>
    <w:qFormat/>
    <w:uiPriority w:val="0"/>
    <w:pPr>
      <w:autoSpaceDE w:val="0"/>
      <w:autoSpaceDN w:val="0"/>
      <w:adjustRightInd w:val="0"/>
      <w:jc w:val="left"/>
    </w:pPr>
    <w:rPr>
      <w:rFonts w:ascii="Calibri" w:hAnsi="Calibri" w:eastAsia="宋体" w:cs="Times New Roman"/>
      <w:kern w:val="0"/>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qFormat/>
    <w:uiPriority w:val="0"/>
    <w:rPr>
      <w:color w:val="676E74"/>
      <w:u w:val="none"/>
    </w:rPr>
  </w:style>
  <w:style w:type="paragraph" w:styleId="20">
    <w:name w:val="List Paragraph"/>
    <w:basedOn w:val="1"/>
    <w:qFormat/>
    <w:uiPriority w:val="34"/>
    <w:pPr>
      <w:ind w:firstLine="420" w:firstLineChars="200"/>
    </w:pPr>
  </w:style>
  <w:style w:type="character" w:customStyle="1" w:styleId="21">
    <w:name w:val="批注框文本 Char"/>
    <w:basedOn w:val="18"/>
    <w:link w:val="8"/>
    <w:qFormat/>
    <w:uiPriority w:val="0"/>
    <w:rPr>
      <w:kern w:val="2"/>
      <w:sz w:val="18"/>
      <w:szCs w:val="18"/>
    </w:rPr>
  </w:style>
  <w:style w:type="character" w:customStyle="1" w:styleId="22">
    <w:name w:val="页眉 Char"/>
    <w:basedOn w:val="18"/>
    <w:link w:val="10"/>
    <w:qFormat/>
    <w:uiPriority w:val="0"/>
    <w:rPr>
      <w:kern w:val="2"/>
      <w:sz w:val="18"/>
      <w:szCs w:val="18"/>
    </w:rPr>
  </w:style>
  <w:style w:type="character" w:customStyle="1" w:styleId="23">
    <w:name w:val="页脚 Char"/>
    <w:basedOn w:val="18"/>
    <w:link w:val="9"/>
    <w:qFormat/>
    <w:uiPriority w:val="0"/>
    <w:rPr>
      <w:kern w:val="2"/>
      <w:sz w:val="18"/>
      <w:szCs w:val="18"/>
    </w:rPr>
  </w:style>
  <w:style w:type="paragraph" w:customStyle="1" w:styleId="24">
    <w:name w:val="reader-word-layer reader-word-s2-1"/>
    <w:basedOn w:val="1"/>
    <w:qFormat/>
    <w:uiPriority w:val="0"/>
    <w:pPr>
      <w:spacing w:before="100" w:beforeAutospacing="1" w:after="100" w:afterAutospacing="1"/>
    </w:pPr>
    <w:rPr>
      <w:rFonts w:ascii="宋体" w:hAnsi="宋体" w:cs="宋体"/>
      <w:sz w:val="24"/>
    </w:rPr>
  </w:style>
  <w:style w:type="paragraph" w:customStyle="1" w:styleId="25">
    <w:name w:val="列出段落1"/>
    <w:basedOn w:val="1"/>
    <w:qFormat/>
    <w:uiPriority w:val="99"/>
    <w:pPr>
      <w:ind w:firstLine="420" w:firstLineChars="200"/>
    </w:pPr>
    <w:rPr>
      <w:szCs w:val="22"/>
    </w:rPr>
  </w:style>
  <w:style w:type="paragraph" w:customStyle="1" w:styleId="26">
    <w:name w:val="xl3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Other|1"/>
    <w:basedOn w:val="1"/>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 w:type="paragraph" w:customStyle="1" w:styleId="29">
    <w:name w:val="Body text|1"/>
    <w:basedOn w:val="1"/>
    <w:qFormat/>
    <w:uiPriority w:val="0"/>
    <w:pPr>
      <w:widowControl w:val="0"/>
      <w:shd w:val="clear" w:color="auto" w:fill="auto"/>
      <w:spacing w:after="360" w:line="353" w:lineRule="auto"/>
      <w:ind w:firstLine="40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17791fd-9504-4f98-bd09-332c532762fc}"/>
        <w:style w:val=""/>
        <w:category>
          <w:name w:val="常规"/>
          <w:gallery w:val="placeholder"/>
        </w:category>
        <w:types>
          <w:type w:val="bbPlcHdr"/>
        </w:types>
        <w:behaviors>
          <w:behavior w:val="content"/>
        </w:behaviors>
        <w:description w:val=""/>
        <w:guid w:val="{D17791FD-9504-4F98-BD09-332C532762FC}"/>
      </w:docPartPr>
      <w:docPartBody>
        <w:p>
          <w:r>
            <w:rPr>
              <w:color w:val="808080"/>
            </w:rPr>
            <w:t>单击此处输入文字。</w:t>
          </w:r>
        </w:p>
      </w:docPartBody>
    </w:docPart>
    <w:docPart>
      <w:docPartPr>
        <w:name w:val="{c5807a2d-8406-41dc-b7f4-3e717f5648b1}"/>
        <w:style w:val=""/>
        <w:category>
          <w:name w:val="常规"/>
          <w:gallery w:val="placeholder"/>
        </w:category>
        <w:types>
          <w:type w:val="bbPlcHdr"/>
        </w:types>
        <w:behaviors>
          <w:behavior w:val="content"/>
        </w:behaviors>
        <w:description w:val=""/>
        <w:guid w:val="{C5807A2D-8406-41DC-B7F4-3E717F5648B1}"/>
      </w:docPartPr>
      <w:docPartBody>
        <w:p>
          <w:r>
            <w:rPr>
              <w:color w:val="808080"/>
            </w:rPr>
            <w:t>单击此处输入文字。</w:t>
          </w:r>
        </w:p>
      </w:docPartBody>
    </w:docPart>
    <w:docPart>
      <w:docPartPr>
        <w:name w:val="{f97359cd-3d12-4ad9-bc93-d0dc7dda568e}"/>
        <w:style w:val=""/>
        <w:category>
          <w:name w:val="常规"/>
          <w:gallery w:val="placeholder"/>
        </w:category>
        <w:types>
          <w:type w:val="bbPlcHdr"/>
        </w:types>
        <w:behaviors>
          <w:behavior w:val="content"/>
        </w:behaviors>
        <w:description w:val=""/>
        <w:guid w:val="{F97359CD-3D12-4AD9-BC93-D0DC7DDA568E}"/>
      </w:docPartPr>
      <w:docPartBody>
        <w:p>
          <w:r>
            <w:rPr>
              <w:color w:val="808080"/>
            </w:rPr>
            <w:t>单击此处输入文字。</w:t>
          </w:r>
        </w:p>
      </w:docPartBody>
    </w:docPart>
    <w:docPart>
      <w:docPartPr>
        <w:name w:val="{d129111c-b20b-4bc6-a9b2-eec52bb3a9ce}"/>
        <w:style w:val=""/>
        <w:category>
          <w:name w:val="常规"/>
          <w:gallery w:val="placeholder"/>
        </w:category>
        <w:types>
          <w:type w:val="bbPlcHdr"/>
        </w:types>
        <w:behaviors>
          <w:behavior w:val="content"/>
        </w:behaviors>
        <w:description w:val=""/>
        <w:guid w:val="{D129111C-B20B-4BC6-A9B2-EEC52BB3A9CE}"/>
      </w:docPartPr>
      <w:docPartBody>
        <w:p>
          <w:r>
            <w:rPr>
              <w:color w:val="808080"/>
            </w:rPr>
            <w:t>单击此处输入文字。</w:t>
          </w:r>
        </w:p>
      </w:docPartBody>
    </w:docPart>
    <w:docPart>
      <w:docPartPr>
        <w:name w:val="{c2b58b28-e0db-4b5d-94c2-c2189e3cb2bd}"/>
        <w:style w:val=""/>
        <w:category>
          <w:name w:val="常规"/>
          <w:gallery w:val="placeholder"/>
        </w:category>
        <w:types>
          <w:type w:val="bbPlcHdr"/>
        </w:types>
        <w:behaviors>
          <w:behavior w:val="content"/>
        </w:behaviors>
        <w:description w:val=""/>
        <w:guid w:val="{C2B58B28-E0DB-4B5D-94C2-C2189E3CB2B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022BA9"/>
    <w:rsid w:val="00022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1BDD61-547D-41BD-804F-895A313F5F2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4611</Words>
  <Characters>26283</Characters>
  <Lines>219</Lines>
  <Paragraphs>61</Paragraphs>
  <TotalTime>55</TotalTime>
  <ScaleCrop>false</ScaleCrop>
  <LinksUpToDate>false</LinksUpToDate>
  <CharactersWithSpaces>30833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2020-10-15T09:22:00Z</dcterms:created>
  <dc:creator>sunjianjun</dc:creator>
  <cp:lastModifiedBy>Administrator</cp:lastModifiedBy>
  <cp:lastPrinted>2022-02-16T02:52:05Z</cp:lastPrinted>
  <dcterms:modified xsi:type="dcterms:W3CDTF">2022-02-16T02:57:14Z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3A25B3434BD24F3880A8394717B9839B</vt:lpwstr>
  </property>
</Properties>
</file>