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sz w:val="44"/>
          <w:szCs w:val="44"/>
        </w:rPr>
      </w:pPr>
    </w:p>
    <w:p>
      <w:pPr>
        <w:spacing w:line="600" w:lineRule="exact"/>
        <w:jc w:val="center"/>
        <w:rPr>
          <w:sz w:val="44"/>
          <w:szCs w:val="44"/>
        </w:rPr>
      </w:pPr>
    </w:p>
    <w:p>
      <w:pPr>
        <w:spacing w:line="600" w:lineRule="exact"/>
        <w:jc w:val="center"/>
        <w:rPr>
          <w:rFonts w:ascii="宋体" w:hAnsi="宋体"/>
          <w:b/>
          <w:sz w:val="44"/>
          <w:szCs w:val="44"/>
        </w:rPr>
      </w:pPr>
      <w:r>
        <w:rPr>
          <w:rFonts w:hint="eastAsia" w:ascii="宋体" w:hAnsi="宋体"/>
          <w:b/>
          <w:sz w:val="44"/>
          <w:szCs w:val="44"/>
        </w:rPr>
        <w:t>湖南康乃馨养老产业投资置业有限公司</w:t>
      </w:r>
    </w:p>
    <w:p>
      <w:pPr>
        <w:spacing w:line="600" w:lineRule="exact"/>
        <w:jc w:val="center"/>
        <w:rPr>
          <w:rFonts w:ascii="宋体" w:hAnsi="宋体"/>
          <w:b/>
          <w:sz w:val="44"/>
          <w:szCs w:val="44"/>
        </w:rPr>
      </w:pPr>
      <w:r>
        <w:rPr>
          <w:rFonts w:hint="eastAsia" w:ascii="宋体" w:hAnsi="宋体"/>
          <w:b/>
          <w:sz w:val="44"/>
          <w:szCs w:val="44"/>
        </w:rPr>
        <w:t>“十四五”发展战略规划中期调整咨询项目</w:t>
      </w:r>
    </w:p>
    <w:p>
      <w:pPr>
        <w:spacing w:line="600" w:lineRule="exact"/>
        <w:jc w:val="center"/>
        <w:rPr>
          <w:sz w:val="44"/>
          <w:szCs w:val="44"/>
        </w:rPr>
      </w:pPr>
    </w:p>
    <w:p>
      <w:pPr>
        <w:spacing w:line="600" w:lineRule="exact"/>
        <w:jc w:val="center"/>
        <w:rPr>
          <w:rFonts w:ascii="华文中宋" w:hAnsi="华文中宋" w:eastAsia="华文中宋"/>
          <w:b/>
          <w:sz w:val="72"/>
          <w:szCs w:val="52"/>
        </w:rPr>
      </w:pPr>
    </w:p>
    <w:p>
      <w:pPr>
        <w:spacing w:line="480" w:lineRule="auto"/>
        <w:jc w:val="center"/>
        <w:rPr>
          <w:rFonts w:ascii="华文中宋" w:hAnsi="华文中宋" w:eastAsia="华文中宋"/>
          <w:b/>
          <w:sz w:val="72"/>
          <w:szCs w:val="52"/>
        </w:rPr>
      </w:pPr>
      <w:r>
        <w:rPr>
          <w:rFonts w:hint="eastAsia" w:ascii="华文中宋" w:hAnsi="华文中宋" w:eastAsia="华文中宋"/>
          <w:b/>
          <w:sz w:val="72"/>
          <w:szCs w:val="52"/>
        </w:rPr>
        <w:t>招</w:t>
      </w:r>
    </w:p>
    <w:p>
      <w:pPr>
        <w:spacing w:line="480" w:lineRule="auto"/>
        <w:jc w:val="center"/>
        <w:rPr>
          <w:rFonts w:ascii="华文中宋" w:hAnsi="华文中宋" w:eastAsia="华文中宋"/>
          <w:b/>
          <w:sz w:val="72"/>
          <w:szCs w:val="52"/>
        </w:rPr>
      </w:pPr>
      <w:r>
        <w:rPr>
          <w:rFonts w:hint="eastAsia" w:ascii="华文中宋" w:hAnsi="华文中宋" w:eastAsia="华文中宋"/>
          <w:b/>
          <w:sz w:val="72"/>
          <w:szCs w:val="52"/>
        </w:rPr>
        <w:t>标</w:t>
      </w:r>
    </w:p>
    <w:p>
      <w:pPr>
        <w:spacing w:line="480" w:lineRule="auto"/>
        <w:jc w:val="center"/>
        <w:rPr>
          <w:rFonts w:ascii="华文中宋" w:hAnsi="华文中宋" w:eastAsia="华文中宋"/>
          <w:b/>
          <w:sz w:val="72"/>
          <w:szCs w:val="72"/>
        </w:rPr>
      </w:pPr>
      <w:r>
        <w:rPr>
          <w:rFonts w:hint="eastAsia" w:ascii="华文中宋" w:hAnsi="华文中宋" w:eastAsia="华文中宋"/>
          <w:b/>
          <w:sz w:val="72"/>
          <w:szCs w:val="72"/>
        </w:rPr>
        <w:t>文</w:t>
      </w:r>
    </w:p>
    <w:p>
      <w:pPr>
        <w:spacing w:line="480" w:lineRule="auto"/>
        <w:jc w:val="center"/>
        <w:rPr>
          <w:rFonts w:ascii="华文中宋" w:hAnsi="华文中宋" w:eastAsia="华文中宋"/>
          <w:b/>
          <w:sz w:val="72"/>
          <w:szCs w:val="72"/>
        </w:rPr>
      </w:pPr>
      <w:r>
        <w:rPr>
          <w:rFonts w:hint="eastAsia" w:ascii="华文中宋" w:hAnsi="华文中宋" w:eastAsia="华文中宋"/>
          <w:b/>
          <w:sz w:val="72"/>
          <w:szCs w:val="72"/>
        </w:rPr>
        <w:t>件</w:t>
      </w:r>
    </w:p>
    <w:p>
      <w:pPr>
        <w:spacing w:line="600" w:lineRule="exact"/>
        <w:jc w:val="center"/>
        <w:rPr>
          <w:sz w:val="48"/>
          <w:szCs w:val="44"/>
        </w:rPr>
      </w:pPr>
    </w:p>
    <w:p>
      <w:pPr>
        <w:spacing w:line="600" w:lineRule="exact"/>
        <w:jc w:val="center"/>
        <w:rPr>
          <w:sz w:val="44"/>
          <w:szCs w:val="44"/>
        </w:rPr>
      </w:pPr>
    </w:p>
    <w:p>
      <w:pPr>
        <w:spacing w:line="600" w:lineRule="exact"/>
        <w:jc w:val="center"/>
        <w:rPr>
          <w:sz w:val="44"/>
          <w:szCs w:val="44"/>
        </w:rPr>
      </w:pPr>
    </w:p>
    <w:p>
      <w:pPr>
        <w:spacing w:line="600" w:lineRule="exact"/>
        <w:jc w:val="center"/>
        <w:rPr>
          <w:sz w:val="44"/>
          <w:szCs w:val="44"/>
        </w:rPr>
      </w:pPr>
    </w:p>
    <w:p>
      <w:pPr>
        <w:spacing w:line="600" w:lineRule="exact"/>
        <w:jc w:val="center"/>
        <w:rPr>
          <w:sz w:val="44"/>
          <w:szCs w:val="44"/>
        </w:rPr>
      </w:pPr>
    </w:p>
    <w:p>
      <w:pPr>
        <w:spacing w:line="600" w:lineRule="exact"/>
        <w:jc w:val="center"/>
        <w:rPr>
          <w:rFonts w:ascii="仿宋_GB2312" w:eastAsia="仿宋_GB2312"/>
          <w:sz w:val="30"/>
          <w:szCs w:val="30"/>
        </w:rPr>
      </w:pPr>
      <w:r>
        <w:rPr>
          <w:rFonts w:hint="eastAsia" w:ascii="仿宋_GB2312" w:eastAsia="仿宋_GB2312"/>
          <w:sz w:val="30"/>
          <w:szCs w:val="30"/>
        </w:rPr>
        <w:t>湖南康乃馨养老产业投资置业有限公司</w:t>
      </w:r>
    </w:p>
    <w:p>
      <w:pPr>
        <w:spacing w:line="600" w:lineRule="exact"/>
        <w:jc w:val="center"/>
        <w:rPr>
          <w:rFonts w:ascii="仿宋_GB2312" w:eastAsia="仿宋_GB2312"/>
          <w:sz w:val="30"/>
          <w:szCs w:val="30"/>
        </w:rPr>
      </w:pPr>
      <w:r>
        <w:rPr>
          <w:rFonts w:hint="eastAsia" w:ascii="仿宋_GB2312" w:eastAsia="仿宋_GB2312"/>
          <w:sz w:val="30"/>
          <w:szCs w:val="30"/>
        </w:rPr>
        <w:t>二</w:t>
      </w:r>
      <w:r>
        <w:rPr>
          <w:rFonts w:hint="eastAsia" w:ascii="仿宋_GB2312"/>
          <w:sz w:val="30"/>
          <w:szCs w:val="30"/>
        </w:rPr>
        <w:t>〇</w:t>
      </w:r>
      <w:r>
        <w:rPr>
          <w:rFonts w:hint="eastAsia" w:ascii="仿宋_GB2312" w:eastAsia="仿宋_GB2312"/>
          <w:sz w:val="30"/>
          <w:szCs w:val="30"/>
        </w:rPr>
        <w:t>二</w:t>
      </w:r>
      <w:r>
        <w:rPr>
          <w:rFonts w:hint="eastAsia" w:ascii="仿宋_GB2312" w:eastAsia="仿宋_GB2312"/>
          <w:sz w:val="30"/>
          <w:szCs w:val="30"/>
          <w:lang w:val="en-US" w:eastAsia="zh-CN"/>
        </w:rPr>
        <w:t>三</w:t>
      </w:r>
      <w:r>
        <w:rPr>
          <w:rFonts w:hint="eastAsia" w:ascii="仿宋_GB2312" w:eastAsia="仿宋_GB2312"/>
          <w:sz w:val="30"/>
          <w:szCs w:val="30"/>
        </w:rPr>
        <w:t>年</w:t>
      </w:r>
      <w:r>
        <w:rPr>
          <w:rFonts w:hint="eastAsia" w:ascii="仿宋_GB2312" w:eastAsia="仿宋_GB2312"/>
          <w:sz w:val="30"/>
          <w:szCs w:val="30"/>
          <w:lang w:val="en-US" w:eastAsia="zh-CN"/>
        </w:rPr>
        <w:t>一</w:t>
      </w:r>
      <w:r>
        <w:rPr>
          <w:rFonts w:hint="eastAsia" w:ascii="仿宋_GB2312" w:eastAsia="仿宋_GB2312"/>
          <w:sz w:val="30"/>
          <w:szCs w:val="30"/>
        </w:rPr>
        <w:t>月</w:t>
      </w:r>
    </w:p>
    <w:p>
      <w:pPr>
        <w:spacing w:line="600" w:lineRule="exact"/>
        <w:rPr>
          <w:rFonts w:ascii="楷体_GB2312" w:eastAsia="楷体_GB2312"/>
          <w:b/>
          <w:sz w:val="32"/>
          <w:szCs w:val="32"/>
        </w:rPr>
      </w:pPr>
    </w:p>
    <w:p>
      <w:pPr>
        <w:spacing w:line="600" w:lineRule="exact"/>
        <w:jc w:val="center"/>
        <w:rPr>
          <w:rFonts w:ascii="仿宋_GB2312" w:hAnsi="仿宋_GB2312" w:eastAsia="楷体_GB2312" w:cs="仿宋_GB2312"/>
          <w:sz w:val="32"/>
          <w:szCs w:val="32"/>
        </w:rPr>
      </w:pPr>
      <w:r>
        <w:rPr>
          <w:rFonts w:hint="eastAsia" w:ascii="楷体_GB2312" w:eastAsia="楷体_GB2312"/>
          <w:b/>
          <w:sz w:val="32"/>
          <w:szCs w:val="32"/>
        </w:rPr>
        <w:t>第一部分 招标公告</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湖南康乃馨养老产业投资置业有限公司（以下简称“招标人”、“康乃馨公司”）就公司“十四五”发展战略规划中期调整咨询项目进行公开招标。欢迎各合格的中介机构前来投标。</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招标要点说明如下：</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一、招标项目：湖南康乃馨养老产业投资置业有限公司“十四五”发展战略规划中期调整咨询项目（2023-2025年）。</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二、招标内容：详见招标文件第三部分咨询服务内容</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三、招标价格：原则上不高于人民币肆拾万元。</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四、投标人资格要求（报名</w:t>
      </w:r>
      <w:r>
        <w:rPr>
          <w:rFonts w:hint="eastAsia"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rPr>
        <w:t>提交电子版材料前置审核）</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(1)具有合格的企业法人资格，注册资本不低于100万元，投标人营业执照有效且经营范围涵盖所投标内容。</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(2)投标人2020-2022年至少完成过</w:t>
      </w:r>
      <w:r>
        <w:rPr>
          <w:rFonts w:hint="eastAsia" w:ascii="仿宋_GB2312" w:hAnsi="仿宋_GB2312" w:eastAsia="仿宋_GB2312" w:cs="仿宋_GB2312"/>
          <w:sz w:val="32"/>
          <w:szCs w:val="32"/>
          <w:highlight w:val="none"/>
        </w:rPr>
        <w:t>1个医养事业单位（含医院）、或1个央企（含康养类板块）、</w:t>
      </w:r>
      <w:r>
        <w:rPr>
          <w:rFonts w:hint="eastAsia" w:ascii="仿宋_GB2312" w:hAnsi="仿宋_GB2312" w:eastAsia="仿宋_GB2312" w:cs="仿宋_GB2312"/>
          <w:sz w:val="32"/>
          <w:szCs w:val="32"/>
        </w:rPr>
        <w:t>或省级国有企业集团康养类板块企业、或2个民营康养企业的管理、战略规划编制工作，并提供合同复印件验证。</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(3)人员配备要求：</w:t>
      </w:r>
      <w:r>
        <w:rPr>
          <w:rFonts w:hint="eastAsia" w:ascii="仿宋_GB2312" w:hAnsi="仿宋_GB2312" w:eastAsia="仿宋_GB2312" w:cs="仿宋_GB2312"/>
          <w:sz w:val="32"/>
          <w:szCs w:val="32"/>
          <w:highlight w:val="none"/>
        </w:rPr>
        <w:t>项目合伙人/项目总监（项目总负责人）必须有10年以上管理咨询服务工作经验，作为项目主要负责人（指项目合伙人或项目总监）成</w:t>
      </w:r>
      <w:r>
        <w:rPr>
          <w:rFonts w:hint="eastAsia" w:ascii="仿宋_GB2312" w:hAnsi="仿宋_GB2312" w:eastAsia="仿宋_GB2312" w:cs="仿宋_GB2312"/>
          <w:sz w:val="32"/>
          <w:szCs w:val="32"/>
        </w:rPr>
        <w:t>功完成过3个及以上企业管理、战略规划咨询服务项目，其中包含至少2个康养相关行业管理、战略规划咨询项目业绩。项目经理（项目现场负责人）必须有8年以上管理咨询服务工作经验，作为项目主要负责人（指项目总监或项目经理）成功完成过1个康养相关行业管理、战略规划咨询项目业绩。投标人拟派的项目负责人及其专业团队近五年须有承接类似项目业绩，提供相关合同复印件和证明材料查验。</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(4)具有履行合同所必须的设施和相关能力，参加此次投标活动前三年内，在经营等活动中没有重大违法记录。具有良好的银行资信和商业信誉，没有处于被责令停业，财产被接管、冻结、破产状态。</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(5)法定代表人为同一个人的两个及以上法人，母公司、全资子公司及其控股公司，只能有一家参与投标。</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(6)符合法律、法规规定的其他条件。</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四、招标文件的获取</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本次招标文件采用电子版发放。</w:t>
      </w:r>
    </w:p>
    <w:p>
      <w:pPr>
        <w:pStyle w:val="10"/>
        <w:widowControl/>
        <w:spacing w:beforeAutospacing="0" w:afterAutospacing="0"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五、报名</w:t>
      </w:r>
      <w:r>
        <w:rPr>
          <w:rFonts w:hint="eastAsia" w:ascii="仿宋_GB2312" w:hAnsi="仿宋_GB2312" w:eastAsia="仿宋_GB2312" w:cs="仿宋_GB2312"/>
          <w:sz w:val="32"/>
          <w:szCs w:val="32"/>
          <w:lang w:val="en-US" w:eastAsia="zh-CN"/>
        </w:rPr>
        <w:t>及缴纳保证金</w:t>
      </w:r>
      <w:r>
        <w:rPr>
          <w:rFonts w:hint="eastAsia" w:ascii="仿宋_GB2312" w:hAnsi="仿宋_GB2312" w:eastAsia="仿宋_GB2312" w:cs="仿宋_GB2312"/>
          <w:sz w:val="32"/>
          <w:szCs w:val="32"/>
        </w:rPr>
        <w:t>截止时间：2023年1月31日</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六、投标地点：长沙市望城区月亮岛街道银星路二段599号康乃馨综合楼1栋4楼123办公室</w:t>
      </w:r>
    </w:p>
    <w:p>
      <w:pPr>
        <w:pStyle w:val="10"/>
        <w:widowControl/>
        <w:spacing w:beforeAutospacing="0" w:afterAutospacing="0"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七、开标时间：2023年2月6日</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八、开标地点：长沙市望城区月亮岛街道银星路二段599号康乃馨综合楼1栋4楼121会议室。</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九、投标保证金：人民币伍仟元整（￥5000元）</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支付方式：电汇</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收款单位（户名）：湖南康乃馨养老产业投资置业有限公司</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开户银行：交通银行长沙望城支行</w:t>
      </w:r>
    </w:p>
    <w:p>
      <w:pPr>
        <w:pStyle w:val="10"/>
        <w:widowControl/>
        <w:spacing w:beforeAutospacing="0" w:afterAutospacing="0"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银行账户：4316 4300 0018 0100 39674</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十、其他事项：</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如中介机构认为招标公告、招标文件、评标过程和中标结果使自己的权益受到损害的，可以在知道或者应知其权益受到损害之日起七个工作日内，以书面形式向采购组织机构提出质疑。书面质疑受理地点：长沙市望城区月亮岛街道银星路二段599号康乃馨综合楼1栋4楼123办公室，联系人：</w:t>
      </w:r>
      <w:r>
        <w:rPr>
          <w:rFonts w:hint="eastAsia" w:ascii="仿宋_GB2312" w:hAnsi="仿宋_GB2312" w:eastAsia="仿宋_GB2312" w:cs="仿宋_GB2312"/>
          <w:sz w:val="32"/>
          <w:szCs w:val="32"/>
          <w:lang w:val="en-US" w:eastAsia="zh-CN"/>
        </w:rPr>
        <w:t>阳灿霞</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18707321148</w:t>
      </w:r>
      <w:r>
        <w:rPr>
          <w:rFonts w:hint="eastAsia" w:ascii="仿宋_GB2312" w:hAnsi="仿宋_GB2312" w:eastAsia="仿宋_GB2312" w:cs="仿宋_GB2312"/>
          <w:sz w:val="32"/>
          <w:szCs w:val="32"/>
        </w:rPr>
        <w:t>。</w:t>
      </w:r>
      <w:bookmarkStart w:id="0" w:name="_GoBack"/>
      <w:bookmarkEnd w:id="0"/>
    </w:p>
    <w:p>
      <w:pPr>
        <w:pStyle w:val="10"/>
        <w:widowControl/>
        <w:spacing w:beforeAutospacing="0" w:afterAutospacing="0"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过程</w:t>
      </w:r>
      <w:r>
        <w:rPr>
          <w:rFonts w:hint="eastAsia" w:ascii="仿宋_GB2312" w:hAnsi="仿宋_GB2312" w:eastAsia="仿宋_GB2312" w:cs="仿宋_GB2312"/>
          <w:sz w:val="32"/>
          <w:szCs w:val="32"/>
        </w:rPr>
        <w:t>监管：纪检</w:t>
      </w:r>
    </w:p>
    <w:p>
      <w:pPr>
        <w:pStyle w:val="10"/>
        <w:widowControl/>
        <w:spacing w:beforeAutospacing="0" w:afterAutospacing="0"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胡雅倩</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联系电话：15874289207</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3、联系方式：</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招标人：湖南康乃馨养老产业投资置业有限公司</w:t>
      </w:r>
    </w:p>
    <w:p>
      <w:pPr>
        <w:pStyle w:val="10"/>
        <w:widowControl/>
        <w:spacing w:beforeAutospacing="0" w:afterAutospacing="0"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阳灿霞</w:t>
      </w:r>
    </w:p>
    <w:p>
      <w:pPr>
        <w:pStyle w:val="10"/>
        <w:widowControl/>
        <w:spacing w:beforeAutospacing="0" w:afterAutospacing="0"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18707321148</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邮箱：</w:t>
      </w:r>
      <w:r>
        <w:rPr>
          <w:rFonts w:hint="eastAsia" w:ascii="仿宋_GB2312" w:hAnsi="仿宋_GB2312" w:eastAsia="仿宋_GB2312" w:cs="仿宋_GB2312"/>
          <w:sz w:val="32"/>
          <w:szCs w:val="32"/>
          <w:lang w:val="en-US" w:eastAsia="zh-CN"/>
        </w:rPr>
        <w:t>1391302380</w:t>
      </w:r>
      <w:r>
        <w:rPr>
          <w:rFonts w:hint="eastAsia" w:ascii="仿宋_GB2312" w:hAnsi="仿宋_GB2312" w:eastAsia="仿宋_GB2312" w:cs="仿宋_GB2312"/>
          <w:sz w:val="32"/>
          <w:szCs w:val="32"/>
        </w:rPr>
        <w:t>@qq.com</w:t>
      </w:r>
    </w:p>
    <w:p>
      <w:pPr>
        <w:spacing w:line="600" w:lineRule="exact"/>
        <w:ind w:firstLine="640" w:firstLineChars="200"/>
        <w:rPr>
          <w:rFonts w:ascii="仿宋_GB2312" w:eastAsia="仿宋_GB2312"/>
          <w:sz w:val="32"/>
          <w:szCs w:val="32"/>
        </w:rPr>
      </w:pPr>
    </w:p>
    <w:p>
      <w:pPr>
        <w:spacing w:line="600" w:lineRule="exact"/>
        <w:jc w:val="center"/>
        <w:rPr>
          <w:rFonts w:ascii="楷体_GB2312" w:eastAsia="楷体_GB2312"/>
          <w:b/>
          <w:sz w:val="32"/>
          <w:szCs w:val="32"/>
        </w:rPr>
      </w:pPr>
      <w:r>
        <w:rPr>
          <w:rFonts w:hint="eastAsia" w:ascii="楷体_GB2312" w:eastAsia="楷体_GB2312"/>
          <w:b/>
          <w:sz w:val="32"/>
          <w:szCs w:val="32"/>
        </w:rPr>
        <w:t>第二部分 投标人须知</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一、投标文件要求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格式符合要求：详见“第四部分：投标文件内容及格式要求”。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投标文件的份数：投标文件为一份正本，</w:t>
      </w:r>
      <w:r>
        <w:rPr>
          <w:rFonts w:hint="eastAsia" w:ascii="仿宋_GB2312" w:eastAsia="仿宋_GB2312"/>
          <w:sz w:val="32"/>
          <w:szCs w:val="32"/>
          <w:lang w:val="en-US" w:eastAsia="zh-CN"/>
        </w:rPr>
        <w:t>二</w:t>
      </w:r>
      <w:r>
        <w:rPr>
          <w:rFonts w:hint="eastAsia" w:ascii="仿宋_GB2312" w:eastAsia="仿宋_GB2312"/>
          <w:sz w:val="32"/>
          <w:szCs w:val="32"/>
        </w:rPr>
        <w:t>份副本，一份电子版（U盘，投标文件制成PDF或其它不可修改的格式）。应在投标文件封面的右上角清楚地注明“正本”或“副本”。正本和副本如有不一致之处，以正本为准。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 xml:space="preserve"> </w:t>
      </w:r>
      <w:r>
        <w:rPr>
          <w:rFonts w:hint="eastAsia" w:ascii="仿宋_GB2312" w:eastAsia="仿宋_GB2312"/>
          <w:sz w:val="32"/>
          <w:szCs w:val="32"/>
        </w:rPr>
        <w:t>投标文件的密封：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（1）投标文件用文件袋或信封密封。上下封口处须用白封条加以覆盖密封并加盖企业公章或法人授权代表签字。</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（2）外层包封的封面上的统一标志如下：   </w:t>
      </w:r>
    </w:p>
    <w:tbl>
      <w:tblPr>
        <w:tblStyle w:val="14"/>
        <w:tblW w:w="81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4" w:hRule="atLeast"/>
        </w:trPr>
        <w:tc>
          <w:tcPr>
            <w:tcW w:w="8116" w:type="dxa"/>
            <w:vAlign w:val="center"/>
          </w:tcPr>
          <w:p>
            <w:pPr>
              <w:spacing w:line="600" w:lineRule="exact"/>
              <w:jc w:val="center"/>
              <w:rPr>
                <w:rFonts w:ascii="仿宋_GB2312" w:eastAsia="仿宋_GB2312"/>
                <w:sz w:val="32"/>
                <w:szCs w:val="32"/>
              </w:rPr>
            </w:pPr>
            <w:r>
              <w:rPr>
                <w:rFonts w:hint="eastAsia" w:ascii="仿宋_GB2312" w:eastAsia="仿宋_GB2312"/>
                <w:sz w:val="32"/>
                <w:szCs w:val="32"/>
              </w:rPr>
              <w:t>湖南康乃馨养老产业投资置业有限公司</w:t>
            </w:r>
          </w:p>
          <w:p>
            <w:pPr>
              <w:spacing w:line="600" w:lineRule="exact"/>
              <w:jc w:val="center"/>
              <w:rPr>
                <w:rFonts w:ascii="仿宋_GB2312" w:eastAsia="仿宋_GB2312"/>
                <w:sz w:val="32"/>
                <w:szCs w:val="32"/>
              </w:rPr>
            </w:pPr>
            <w:r>
              <w:rPr>
                <w:rFonts w:hint="eastAsia" w:ascii="仿宋_GB2312" w:eastAsia="仿宋_GB2312"/>
                <w:sz w:val="32"/>
                <w:szCs w:val="32"/>
              </w:rPr>
              <w:t>“十四五”发展战略规划中期调整咨询项目</w:t>
            </w:r>
          </w:p>
          <w:p>
            <w:pPr>
              <w:spacing w:line="600" w:lineRule="exact"/>
              <w:jc w:val="center"/>
              <w:rPr>
                <w:rFonts w:ascii="仿宋_GB2312" w:eastAsia="仿宋_GB2312"/>
                <w:sz w:val="32"/>
                <w:szCs w:val="32"/>
              </w:rPr>
            </w:pPr>
            <w:r>
              <w:rPr>
                <w:rFonts w:hint="eastAsia" w:ascii="仿宋_GB2312" w:eastAsia="仿宋_GB2312"/>
                <w:sz w:val="32"/>
                <w:szCs w:val="32"/>
              </w:rPr>
              <w:t>投 标 文 件</w:t>
            </w:r>
          </w:p>
          <w:p>
            <w:pPr>
              <w:spacing w:line="600" w:lineRule="exact"/>
              <w:jc w:val="center"/>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在开标之前投标文件不得提前开封</w:t>
            </w:r>
          </w:p>
          <w:p>
            <w:pPr>
              <w:spacing w:line="600" w:lineRule="exact"/>
              <w:rPr>
                <w:rFonts w:ascii="仿宋_GB2312" w:eastAsia="仿宋_GB2312"/>
                <w:sz w:val="32"/>
                <w:szCs w:val="32"/>
              </w:rPr>
            </w:pPr>
            <w:r>
              <w:rPr>
                <w:rFonts w:hint="eastAsia" w:ascii="仿宋_GB2312" w:eastAsia="仿宋_GB2312"/>
                <w:sz w:val="32"/>
                <w:szCs w:val="32"/>
              </w:rPr>
              <w:t>投标单位名称：</w:t>
            </w:r>
          </w:p>
        </w:tc>
      </w:tr>
    </w:tbl>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二、无效投标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投标单位发生以下条款情况之一者，视为无效投标。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法人代表或法人授权代表未参加投标。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投标文件未按规定密封、或未及时送达。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 xml:space="preserve"> </w:t>
      </w:r>
      <w:r>
        <w:rPr>
          <w:rFonts w:hint="eastAsia" w:ascii="仿宋_GB2312" w:eastAsia="仿宋_GB2312"/>
          <w:sz w:val="32"/>
          <w:szCs w:val="32"/>
        </w:rPr>
        <w:t>无主要的有效资格证明文件或超出营业范围的投标。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 xml:space="preserve"> </w:t>
      </w:r>
      <w:r>
        <w:rPr>
          <w:rFonts w:hint="eastAsia" w:ascii="仿宋_GB2312" w:eastAsia="仿宋_GB2312"/>
          <w:sz w:val="32"/>
          <w:szCs w:val="32"/>
        </w:rPr>
        <w:t>投标文件不按规定的格式、内容填写或不按规定签字、盖章。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 xml:space="preserve"> </w:t>
      </w:r>
      <w:r>
        <w:rPr>
          <w:rFonts w:hint="eastAsia" w:ascii="仿宋_GB2312" w:eastAsia="仿宋_GB2312"/>
          <w:sz w:val="32"/>
          <w:szCs w:val="32"/>
        </w:rPr>
        <w:t>投标文件的符合性条款有不符合项。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 xml:space="preserve"> </w:t>
      </w:r>
      <w:r>
        <w:rPr>
          <w:rFonts w:hint="eastAsia" w:ascii="仿宋_GB2312" w:eastAsia="仿宋_GB2312"/>
          <w:sz w:val="32"/>
          <w:szCs w:val="32"/>
        </w:rPr>
        <w:t>投标人谈判文件内容有与国家现行法律法规相违背的内容或附有投标单位无法接受的条件。</w:t>
      </w:r>
    </w:p>
    <w:p>
      <w:pPr>
        <w:spacing w:line="600" w:lineRule="exact"/>
        <w:ind w:firstLine="640" w:firstLineChars="200"/>
        <w:rPr>
          <w:rFonts w:ascii="仿宋_GB2312" w:eastAsia="仿宋_GB2312"/>
          <w:sz w:val="32"/>
          <w:szCs w:val="32"/>
        </w:rPr>
      </w:pPr>
      <w:r>
        <w:rPr>
          <w:rFonts w:ascii="仿宋_GB2312" w:eastAsia="仿宋_GB2312"/>
          <w:sz w:val="32"/>
          <w:szCs w:val="32"/>
        </w:rPr>
        <w:t xml:space="preserve">7. </w:t>
      </w:r>
      <w:r>
        <w:rPr>
          <w:rFonts w:hint="eastAsia" w:ascii="仿宋_GB2312" w:eastAsia="仿宋_GB2312"/>
          <w:sz w:val="32"/>
          <w:szCs w:val="32"/>
        </w:rPr>
        <w:t>投标单位有围标、串标、贿标及其它违法违规行为。</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三、评标、定标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评标小组依如下原则及程序进行开标、评标：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符合项评定。标书密封方式、投标单位资格、文件格式、统一规定的商务条款、投标内容（完整性、符合性等）等项进行符合性评定，均符合的方能进行综合评定。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各投标人就项目建议书进行陈述，同时回答评标小组提出的相关问题。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（1）时间控制在</w:t>
      </w:r>
      <w:r>
        <w:rPr>
          <w:rFonts w:ascii="仿宋_GB2312" w:eastAsia="仿宋_GB2312"/>
          <w:sz w:val="32"/>
          <w:szCs w:val="32"/>
        </w:rPr>
        <w:t>4</w:t>
      </w:r>
      <w:r>
        <w:rPr>
          <w:rFonts w:hint="eastAsia" w:ascii="仿宋_GB2312" w:eastAsia="仿宋_GB2312"/>
          <w:sz w:val="32"/>
          <w:szCs w:val="32"/>
        </w:rPr>
        <w:t>0分钟内。</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（2）方案陈述内容：①投标人概况简介；②方案介绍：具体内容见“第三部分：方案要求”；③成功案例经验介绍。</w:t>
      </w:r>
    </w:p>
    <w:p>
      <w:pPr>
        <w:spacing w:line="600" w:lineRule="exact"/>
        <w:ind w:firstLine="640" w:firstLineChars="200"/>
      </w:pPr>
      <w:r>
        <w:rPr>
          <w:rFonts w:hint="eastAsia" w:ascii="仿宋_GB2312" w:eastAsia="仿宋_GB2312"/>
          <w:sz w:val="32"/>
          <w:szCs w:val="32"/>
        </w:rPr>
        <w:t>（3）投标人参与人员要求：各个投标人可派2-4名代表参与投标，至少1人应为法人代表或法人代表委托的授权代表，项目负责人及核心成员不少于1人。</w:t>
      </w:r>
    </w:p>
    <w:p>
      <w:pPr>
        <w:spacing w:line="600" w:lineRule="exact"/>
        <w:ind w:firstLine="640" w:firstLineChars="200"/>
        <w:rPr>
          <w:rFonts w:ascii="仿宋_GB2312" w:eastAsia="仿宋_GB2312"/>
          <w:color w:val="FF0000"/>
          <w:sz w:val="32"/>
          <w:szCs w:val="32"/>
        </w:rPr>
      </w:pPr>
      <w:r>
        <w:rPr>
          <w:rFonts w:hint="eastAsia" w:ascii="仿宋_GB2312" w:eastAsia="仿宋_GB2312"/>
          <w:sz w:val="32"/>
          <w:szCs w:val="32"/>
        </w:rPr>
        <w:t>3.</w:t>
      </w:r>
      <w:r>
        <w:rPr>
          <w:rFonts w:ascii="仿宋_GB2312" w:eastAsia="仿宋_GB2312"/>
          <w:sz w:val="32"/>
          <w:szCs w:val="32"/>
        </w:rPr>
        <w:t xml:space="preserve"> </w:t>
      </w:r>
      <w:r>
        <w:rPr>
          <w:rFonts w:hint="eastAsia" w:ascii="仿宋_GB2312" w:eastAsia="仿宋_GB2312"/>
          <w:sz w:val="32"/>
          <w:szCs w:val="32"/>
        </w:rPr>
        <w:t>评标小组根据投标人综合情况进行评分，并按照评分高低顺序推荐中标候选人3名；评标结束后，根据评标小组推荐，招标人党总支会研究确定中标人。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 xml:space="preserve"> </w:t>
      </w:r>
      <w:r>
        <w:rPr>
          <w:rFonts w:hint="eastAsia" w:ascii="仿宋_GB2312" w:eastAsia="仿宋_GB2312"/>
          <w:sz w:val="32"/>
          <w:szCs w:val="32"/>
        </w:rPr>
        <w:t>招标人采用书面通知或电话通知方式及时将开标结果告知各投标人。</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四、签订合同</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根据招标结果，自中标通知书发出之日起10个工作日内完成合同签订。若中标单位放弃或擅自在签订合同中改变最终承诺条款时，招标人可有权选择下一顺位的中标候选人签订合同或重新确定中标单位。</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五、报价与付款方式</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投标人报价包含项目范围内的所有费用及税款，招标人在项目周期内可为中标单位驻点人员提供相应办公场地。付款按照项目进度分期付款，具体比例和阶段划分由投标人自拟。</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六、其它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投标人投标即表示已仔细阅读招标文件，确认无误并予以认可。本招标文件由湖南康乃馨养老产业投资置业有限公司评标小组负责解释。</w:t>
      </w:r>
    </w:p>
    <w:p>
      <w:pPr>
        <w:pStyle w:val="4"/>
        <w:spacing w:line="600" w:lineRule="exact"/>
        <w:ind w:firstLine="640"/>
        <w:rPr>
          <w:sz w:val="32"/>
          <w:szCs w:val="32"/>
        </w:rPr>
      </w:pPr>
    </w:p>
    <w:p>
      <w:pPr>
        <w:spacing w:line="600" w:lineRule="exact"/>
        <w:jc w:val="center"/>
        <w:rPr>
          <w:rFonts w:ascii="楷体_GB2312" w:eastAsia="楷体_GB2312"/>
          <w:b/>
          <w:sz w:val="32"/>
          <w:szCs w:val="32"/>
        </w:rPr>
      </w:pPr>
      <w:r>
        <w:rPr>
          <w:rFonts w:hint="eastAsia" w:ascii="楷体_GB2312" w:eastAsia="楷体_GB2312"/>
          <w:b/>
          <w:sz w:val="32"/>
          <w:szCs w:val="32"/>
        </w:rPr>
        <w:t>第三部分  咨询服务内容</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一、项目基本情况及招标范围</w:t>
      </w:r>
    </w:p>
    <w:p>
      <w:pPr>
        <w:spacing w:line="576" w:lineRule="exact"/>
        <w:ind w:firstLine="640" w:firstLineChars="200"/>
        <w:rPr>
          <w:rFonts w:ascii="仿宋_GB2312" w:eastAsia="仿宋_GB2312"/>
          <w:bCs/>
          <w:sz w:val="32"/>
          <w:szCs w:val="32"/>
        </w:rPr>
      </w:pPr>
      <w:r>
        <w:rPr>
          <w:rFonts w:hint="eastAsia" w:ascii="仿宋_GB2312" w:eastAsia="仿宋_GB2312"/>
          <w:bCs/>
          <w:sz w:val="32"/>
          <w:szCs w:val="32"/>
        </w:rPr>
        <w:t>湖南康乃馨养老产业投资置业有限公司（以下简称“康乃馨公司”）系省管国有企业湖南医药发展投资集团经营健康养老产业的主品牌、主阵地和主力军。康乃馨公司成立于2009年，总部位于长沙湘江新区核心区，谷山森林公园西畔，下辖老年呵护中心、医院、护理院、运营公司等多家子公司，托管或运营大型公建民营养老机构、中小型社区连锁养护中心10多家，运营医疗、护理、康复、养老、日照等各类床位近2000张。至诚至爱，孝行天下。经过多年的探索与实践，康乃馨公司已经构建了涵盖生活照料、康复保健、医疗服务、心理支持、文化娱乐、老年教育等多层次、全方位的综合养老服务体系，基本形成了康乃馨医养结合、文化养老、全龄全护三大核心运营特色，为老龄化中国提供全新养老示范蓝本，引领中国健康养老事业有序发展。</w:t>
      </w:r>
    </w:p>
    <w:p>
      <w:pPr>
        <w:spacing w:line="576" w:lineRule="exact"/>
        <w:ind w:firstLine="640" w:firstLineChars="200"/>
        <w:rPr>
          <w:rFonts w:ascii="仿宋_GB2312" w:hAnsi="仿宋_GB2312" w:eastAsia="仿宋_GB2312" w:cs="仿宋_GB2312"/>
          <w:sz w:val="32"/>
          <w:szCs w:val="32"/>
        </w:rPr>
      </w:pPr>
      <w:r>
        <w:rPr>
          <w:rFonts w:hint="eastAsia" w:ascii="仿宋_GB2312" w:eastAsia="仿宋_GB2312"/>
          <w:bCs/>
          <w:sz w:val="32"/>
          <w:szCs w:val="32"/>
        </w:rPr>
        <w:t xml:space="preserve"> </w:t>
      </w:r>
      <w:r>
        <w:rPr>
          <w:rFonts w:hint="eastAsia" w:ascii="仿宋_GB2312" w:hAnsi="仿宋_GB2312" w:eastAsia="仿宋_GB2312" w:cs="仿宋_GB2312"/>
          <w:sz w:val="32"/>
          <w:szCs w:val="32"/>
        </w:rPr>
        <w:t>康乃馨园区占地面积50.4亩，建筑面积约10万平方米，运营团队近700人。公司是湖南省养老服务标准化技术委员会秘书处单位。截止目前，公司编制并发布湖南省地方标准5个，国家民政部标准1个。2022年，公司护理院通过了“湖南省医养结合示范机构、湖南省安宁疗护标准示范病房、长沙市安宁疗护标准示范病房”验收、员工代表湖南省参加全国养老护理员职业技能竞赛荣获一等奖，呵护中心通过湖南省第一批五星级养老机构专家评审，公司被省民政厅推荐为“全国养老机构先进单位”。</w:t>
      </w:r>
    </w:p>
    <w:p>
      <w:pPr>
        <w:ind w:firstLine="640" w:firstLineChars="200"/>
        <w:rPr>
          <w:rFonts w:ascii="仿宋_GB2312" w:eastAsia="仿宋_GB2312"/>
          <w:bCs/>
          <w:sz w:val="32"/>
          <w:szCs w:val="32"/>
        </w:rPr>
      </w:pPr>
      <w:r>
        <w:rPr>
          <w:rFonts w:hint="eastAsia" w:ascii="仿宋_GB2312" w:hAnsi="仿宋_GB2312" w:eastAsia="仿宋_GB2312" w:cs="仿宋_GB2312"/>
          <w:sz w:val="32"/>
          <w:szCs w:val="32"/>
        </w:rPr>
        <w:t>招标人希望通过深入开展调查研究，分析国内经济新形势、产业发展新动向及公司外部环境和发展机遇，全面认识企业自身发展情况和优劣势，对企业当前改革发展面临的关键问题进行全面调查与诊断分析，抓住主要矛盾，明确主攻方向，加强调研论证，提出解决方案，完成“十四五”规划中期调整。</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二、服务内容</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根据湖南省国资委关于印发《湖南省国资国企发展战略暨“十四五”规划编制工作方案》的通知要求，提交招标人发展战略暨“十四五”规划中期调整的有关报告。拟通过综合分析、业务现状调研、业务需求分析、外部行业研究、对标分析等工作，对康乃馨公司的发展战略进行梳理，明确战略定位及发展指导思想、确定企业未来的发展目标和核心发展战略、产业布局和业务架构，设计企业战略落地的具体举措及相应的保障措施和组织架构。</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（2）组织对公司全体员工战略规划的培训和宣讲，不少于一次。</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（3）结合规划执行情况，组织公司相关人员研究讨论，提出及时合理的</w:t>
      </w:r>
      <w:r>
        <w:rPr>
          <w:rFonts w:hint="eastAsia" w:ascii="仿宋_GB2312" w:hAnsi="仿宋_GB2312" w:eastAsia="仿宋_GB2312" w:cs="仿宋_GB2312"/>
          <w:sz w:val="32"/>
          <w:szCs w:val="32"/>
          <w:lang w:val="en-US" w:eastAsia="zh-CN"/>
        </w:rPr>
        <w:t>建议</w:t>
      </w:r>
      <w:r>
        <w:rPr>
          <w:rFonts w:hint="eastAsia" w:ascii="仿宋_GB2312" w:hAnsi="仿宋_GB2312" w:eastAsia="仿宋_GB2312" w:cs="仿宋_GB2312"/>
          <w:sz w:val="32"/>
          <w:szCs w:val="32"/>
        </w:rPr>
        <w:t>，为项目方案的有效推进提供保障，三年内，每年不少于1次。</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（4）根据实施效果反馈</w:t>
      </w:r>
      <w:r>
        <w:rPr>
          <w:rFonts w:hint="eastAsia" w:ascii="仿宋_GB2312" w:hAnsi="仿宋_GB2312" w:eastAsia="仿宋_GB2312" w:cs="仿宋_GB2312"/>
          <w:sz w:val="32"/>
          <w:szCs w:val="32"/>
          <w:lang w:val="en-US" w:eastAsia="zh-CN"/>
        </w:rPr>
        <w:t>和每年不少于一次的研究讨论结果，</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规划</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后续推进给出书面意见指导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每年出具的指导意见不少于1次</w:t>
      </w:r>
      <w:r>
        <w:rPr>
          <w:rFonts w:hint="eastAsia" w:ascii="仿宋_GB2312" w:hAnsi="仿宋_GB2312" w:eastAsia="仿宋_GB2312" w:cs="仿宋_GB2312"/>
          <w:sz w:val="32"/>
          <w:szCs w:val="32"/>
        </w:rPr>
        <w:t>，为期三年。</w:t>
      </w:r>
    </w:p>
    <w:p>
      <w:pPr>
        <w:pStyle w:val="10"/>
        <w:widowControl/>
        <w:spacing w:beforeAutospacing="0" w:afterAutospacing="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3.服务方式</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在项目进行期间，中标人项目人员（不少于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人）必须全程驻点招标人公司现场开展工作，通过组建内外部联合项目组的形式共同运作，强化沟通和培训，以保障方案符合招标人实际，同时能实现知识转移，为招标人培养核心人才。</w:t>
      </w:r>
    </w:p>
    <w:p>
      <w:pPr>
        <w:pStyle w:val="10"/>
        <w:widowControl/>
        <w:spacing w:beforeAutospacing="0" w:afterAutospacing="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4.方案要求</w:t>
      </w:r>
    </w:p>
    <w:p>
      <w:pPr>
        <w:pStyle w:val="10"/>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投标人所提交项目建议书中的工作内容包括但不限于“服务内容”的要求，应当包括下列内容，并对其进行详细的描述：</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（1）对本次项目的理解和建议；</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（2）投标人应在项目建议书中说明本项目的组织设置和人员配置详情，以及每位项目人员在招标人公司现场工作的时间周期；</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（3）投标书应包含详细工作的时间进度和资源配置计划，并指明在哪些时间点需要进行汇报和评审；</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（4）投标人应在项目建议书中具体描述拟采用的咨询方法，包括理论模型和最佳实践等；</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（5）投标人应在项目建议书中说明咨询过程拟采用的具体方式，例如需求调研过程、规划确认过程、知识传递过程等；</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（6）投标人应在项目建议书中明确列出要求招标人提供的资源和配合工作、投入时间点；</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（7）投标人应提供实施同类项目的案例以及项目人员的经验和资质，并给出确认和承诺；</w:t>
      </w:r>
    </w:p>
    <w:p>
      <w:pPr>
        <w:pStyle w:val="10"/>
        <w:widowControl/>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（8）项目输出成果清单。</w:t>
      </w:r>
    </w:p>
    <w:p>
      <w:pPr>
        <w:pStyle w:val="10"/>
        <w:widowControl/>
        <w:spacing w:beforeAutospacing="0" w:afterAutospacing="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5.成果所有权</w:t>
      </w:r>
    </w:p>
    <w:p>
      <w:pPr>
        <w:pStyle w:val="4"/>
        <w:spacing w:line="600" w:lineRule="exact"/>
        <w:ind w:firstLine="640"/>
        <w:rPr>
          <w:sz w:val="32"/>
          <w:szCs w:val="32"/>
        </w:rPr>
      </w:pPr>
      <w:r>
        <w:rPr>
          <w:rFonts w:hint="eastAsia" w:ascii="仿宋_GB2312" w:hAnsi="仿宋_GB2312" w:eastAsia="仿宋_GB2312" w:cs="仿宋_GB2312"/>
          <w:sz w:val="32"/>
          <w:szCs w:val="32"/>
        </w:rPr>
        <w:t>本项目产生成果的所有权归属招标人所有，未经招标人书面许可，中标人不得将本项目成果用于项目之外。</w:t>
      </w:r>
    </w:p>
    <w:p>
      <w:pPr>
        <w:spacing w:line="600" w:lineRule="exact"/>
        <w:jc w:val="center"/>
        <w:rPr>
          <w:rFonts w:ascii="楷体_GB2312" w:eastAsia="楷体_GB2312"/>
          <w:b/>
          <w:sz w:val="32"/>
          <w:szCs w:val="32"/>
        </w:rPr>
      </w:pPr>
    </w:p>
    <w:p>
      <w:pPr>
        <w:spacing w:line="600" w:lineRule="exact"/>
        <w:jc w:val="center"/>
        <w:rPr>
          <w:rFonts w:ascii="楷体_GB2312" w:eastAsia="楷体_GB2312"/>
          <w:b/>
          <w:sz w:val="32"/>
          <w:szCs w:val="32"/>
        </w:rPr>
      </w:pPr>
      <w:r>
        <w:rPr>
          <w:rFonts w:hint="eastAsia" w:ascii="楷体_GB2312" w:eastAsia="楷体_GB2312"/>
          <w:b/>
          <w:sz w:val="32"/>
          <w:szCs w:val="32"/>
        </w:rPr>
        <w:t>第四部分 投标文件内容及格式要求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投标单位应提交相关资料，并按如下顺序汇编成册，目录及册内每份文件（不是每页文件）均需加盖单位公章：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三证合一营业执照副本（复印件）；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其它资质证书（如有可提供）复印件；</w:t>
      </w:r>
    </w:p>
    <w:p>
      <w:pPr>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投标函（原件）（格式参照附件一）；</w:t>
      </w:r>
    </w:p>
    <w:p>
      <w:pPr>
        <w:spacing w:line="6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法定代表人授权委托书（原件）（格式参照附件二）；</w:t>
      </w:r>
    </w:p>
    <w:p>
      <w:pPr>
        <w:spacing w:line="60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投标单位承诺函（原件）（格式参照附件三）；</w:t>
      </w:r>
    </w:p>
    <w:p>
      <w:pPr>
        <w:spacing w:line="60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相关业绩说明（格式及要求参照附件四）；</w:t>
      </w:r>
    </w:p>
    <w:p>
      <w:pPr>
        <w:spacing w:line="60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方案（或项目建议书）原件：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（1）投标人概况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包括公司简介、经营理念、拟派出项目团队成员简历及工作成就介绍、以往服务的客户及类似咨询项目简介、经验总结等。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（2）具体方案及优势等</w:t>
      </w:r>
    </w:p>
    <w:p>
      <w:pPr>
        <w:spacing w:line="60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报价单（原件）（格式参照附件五）。</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以上为文件基本格式，投标人也可在基本格式基础上对表格进行扩展。未规定格式的由投标人自定格式。其中第1、</w:t>
      </w:r>
      <w:r>
        <w:rPr>
          <w:rFonts w:ascii="仿宋_GB2312" w:eastAsia="仿宋_GB2312"/>
          <w:sz w:val="32"/>
          <w:szCs w:val="32"/>
        </w:rPr>
        <w:t>2</w:t>
      </w:r>
      <w:r>
        <w:rPr>
          <w:rFonts w:hint="eastAsia" w:ascii="仿宋_GB2312" w:eastAsia="仿宋_GB2312"/>
          <w:sz w:val="32"/>
          <w:szCs w:val="32"/>
        </w:rPr>
        <w:t>和</w:t>
      </w:r>
      <w:r>
        <w:rPr>
          <w:rFonts w:ascii="仿宋_GB2312" w:eastAsia="仿宋_GB2312"/>
          <w:sz w:val="32"/>
          <w:szCs w:val="32"/>
        </w:rPr>
        <w:t>6</w:t>
      </w:r>
      <w:r>
        <w:rPr>
          <w:rFonts w:hint="eastAsia" w:ascii="仿宋_GB2312" w:eastAsia="仿宋_GB2312"/>
          <w:sz w:val="32"/>
          <w:szCs w:val="32"/>
        </w:rPr>
        <w:t>之所附合同或发票在开标时核对复印件。</w:t>
      </w:r>
    </w:p>
    <w:p>
      <w:pPr>
        <w:spacing w:line="600" w:lineRule="exact"/>
        <w:rPr>
          <w:rFonts w:ascii="楷体_GB2312" w:eastAsia="楷体_GB2312"/>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1"/>
          <w:cols w:space="720" w:num="1"/>
          <w:docGrid w:type="lines" w:linePitch="312" w:charSpace="0"/>
        </w:sectPr>
      </w:pPr>
    </w:p>
    <w:p>
      <w:pPr>
        <w:spacing w:line="600" w:lineRule="exact"/>
        <w:jc w:val="center"/>
        <w:rPr>
          <w:b/>
          <w:sz w:val="32"/>
          <w:szCs w:val="32"/>
        </w:rPr>
      </w:pPr>
      <w:r>
        <w:rPr>
          <w:rFonts w:hint="eastAsia" w:ascii="楷体_GB2312" w:eastAsia="楷体_GB2312"/>
          <w:b/>
          <w:sz w:val="32"/>
          <w:szCs w:val="32"/>
        </w:rPr>
        <w:t>第五部分 附件</w:t>
      </w:r>
    </w:p>
    <w:p>
      <w:pPr>
        <w:spacing w:line="600" w:lineRule="exact"/>
        <w:rPr>
          <w:b/>
          <w:sz w:val="32"/>
          <w:szCs w:val="32"/>
        </w:rPr>
      </w:pPr>
      <w:r>
        <w:rPr>
          <w:rFonts w:hint="eastAsia"/>
          <w:b/>
          <w:sz w:val="32"/>
          <w:szCs w:val="32"/>
        </w:rPr>
        <w:t>附件一：投标函</w:t>
      </w:r>
    </w:p>
    <w:p>
      <w:pPr>
        <w:spacing w:line="600" w:lineRule="exact"/>
        <w:rPr>
          <w:rFonts w:ascii="仿宋_GB2312" w:eastAsia="仿宋_GB2312"/>
          <w:sz w:val="32"/>
          <w:szCs w:val="32"/>
        </w:rPr>
      </w:pPr>
      <w:r>
        <w:rPr>
          <w:rFonts w:hint="eastAsia" w:ascii="仿宋_GB2312" w:eastAsia="仿宋_GB2312"/>
          <w:sz w:val="32"/>
          <w:szCs w:val="32"/>
        </w:rPr>
        <w:t>湖南康乃馨养老产业投资置业有限公司：</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我方收到贵方编制的《湖南康乃馨养老产业投资置业有限公司“十四五”发展战略规划中期调整咨询项目招标文件》，经研究，决定自愿参加该项目，并同意和承诺自觉遵守投标文件中的各项要求。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我方全面研究了招标文件，并能够正确理解其全部内容。我方根据招标文件中项目的要求进行了测算，对项目的初步报价见我单位制作的《报价单》，我单位的报价含项目范围内的所有费用及税款。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我方完全同意招标文件中的评标办法和评标标准；愿意自行承担我方在参与本次招标活动过程中所发生的一切费用。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 xml:space="preserve"> </w:t>
      </w:r>
      <w:r>
        <w:rPr>
          <w:rFonts w:hint="eastAsia" w:ascii="仿宋_GB2312" w:eastAsia="仿宋_GB2312"/>
          <w:sz w:val="32"/>
          <w:szCs w:val="32"/>
        </w:rPr>
        <w:t>如果我方成交，我方承诺严格执行双方签订的经济合同。如果我单位出现不能正常履行合同条款，我方愿意承担由此给招标方造成的一切损失。</w:t>
      </w:r>
    </w:p>
    <w:p>
      <w:pPr>
        <w:spacing w:line="600" w:lineRule="exact"/>
        <w:ind w:right="560"/>
        <w:rPr>
          <w:rFonts w:ascii="仿宋_GB2312" w:eastAsia="仿宋_GB2312"/>
          <w:sz w:val="32"/>
          <w:szCs w:val="32"/>
        </w:rPr>
      </w:pPr>
      <w:r>
        <w:rPr>
          <w:rFonts w:hint="eastAsia" w:ascii="仿宋_GB2312" w:eastAsia="仿宋_GB2312"/>
          <w:sz w:val="32"/>
          <w:szCs w:val="32"/>
        </w:rPr>
        <w:t>法定代表人（或代理人）姓名：</w:t>
      </w:r>
    </w:p>
    <w:p>
      <w:pPr>
        <w:spacing w:line="600" w:lineRule="exact"/>
        <w:ind w:right="560"/>
        <w:rPr>
          <w:rFonts w:ascii="仿宋_GB2312" w:eastAsia="仿宋_GB2312"/>
          <w:sz w:val="32"/>
          <w:szCs w:val="32"/>
        </w:rPr>
      </w:pPr>
      <w:r>
        <w:rPr>
          <w:rFonts w:hint="eastAsia" w:ascii="仿宋_GB2312" w:eastAsia="仿宋_GB2312"/>
          <w:sz w:val="32"/>
          <w:szCs w:val="32"/>
        </w:rPr>
        <w:t>法定代表人（或代理人）身份证号码：</w:t>
      </w:r>
    </w:p>
    <w:p>
      <w:pPr>
        <w:spacing w:line="600" w:lineRule="exact"/>
        <w:ind w:right="560"/>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投标单位（盖章）：</w:t>
      </w:r>
    </w:p>
    <w:p>
      <w:pPr>
        <w:spacing w:line="600" w:lineRule="exact"/>
        <w:rPr>
          <w:rFonts w:ascii="仿宋_GB2312" w:eastAsia="仿宋_GB2312"/>
          <w:sz w:val="32"/>
          <w:szCs w:val="32"/>
        </w:rPr>
      </w:pPr>
      <w:r>
        <w:rPr>
          <w:rFonts w:hint="eastAsia" w:ascii="仿宋_GB2312" w:eastAsia="仿宋_GB2312"/>
          <w:sz w:val="32"/>
          <w:szCs w:val="32"/>
        </w:rPr>
        <w:t xml:space="preserve">                                年 月 日</w:t>
      </w:r>
    </w:p>
    <w:p>
      <w:pPr>
        <w:rPr>
          <w:b/>
          <w:sz w:val="32"/>
          <w:szCs w:val="32"/>
        </w:rPr>
      </w:pPr>
      <w:r>
        <w:rPr>
          <w:rFonts w:hint="eastAsia"/>
          <w:b/>
          <w:sz w:val="32"/>
          <w:szCs w:val="32"/>
        </w:rPr>
        <w:br w:type="page"/>
      </w:r>
    </w:p>
    <w:p>
      <w:pPr>
        <w:spacing w:line="600" w:lineRule="exact"/>
        <w:rPr>
          <w:b/>
          <w:sz w:val="32"/>
          <w:szCs w:val="32"/>
        </w:rPr>
      </w:pPr>
      <w:r>
        <w:rPr>
          <w:rFonts w:hint="eastAsia"/>
          <w:b/>
          <w:sz w:val="32"/>
          <w:szCs w:val="32"/>
        </w:rPr>
        <w:t>附件二：法定代表授权书</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 xml:space="preserve">湖南康乃馨养老产业投资置业有限公司：  </w:t>
      </w:r>
    </w:p>
    <w:p>
      <w:pPr>
        <w:spacing w:line="600" w:lineRule="exact"/>
        <w:ind w:firstLine="160" w:firstLineChars="5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u w:val="single"/>
        </w:rPr>
        <w:t xml:space="preserve">                        </w:t>
      </w:r>
      <w:r>
        <w:rPr>
          <w:rFonts w:hint="eastAsia" w:ascii="仿宋_GB2312" w:eastAsia="仿宋_GB2312"/>
          <w:sz w:val="32"/>
          <w:szCs w:val="32"/>
        </w:rPr>
        <w:t>（投标单位全称）是中华人民共和国合法企业，法定地址：</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兹授权</w:t>
      </w:r>
      <w:r>
        <w:rPr>
          <w:rFonts w:hint="eastAsia" w:ascii="仿宋_GB2312" w:eastAsia="仿宋_GB2312"/>
          <w:sz w:val="32"/>
          <w:szCs w:val="32"/>
          <w:u w:val="single"/>
        </w:rPr>
        <w:t xml:space="preserve">             </w:t>
      </w:r>
      <w:r>
        <w:rPr>
          <w:rFonts w:hint="eastAsia" w:ascii="仿宋_GB2312" w:eastAsia="仿宋_GB2312"/>
          <w:sz w:val="32"/>
          <w:szCs w:val="32"/>
        </w:rPr>
        <w:t xml:space="preserve"> 为我单位合法代表，全权代表我单位办理对项目的谈判、签约等具体工作，并签署全部有关的文件、协议及合同。</w:t>
      </w:r>
    </w:p>
    <w:p>
      <w:pPr>
        <w:spacing w:line="600" w:lineRule="exact"/>
        <w:ind w:firstLine="614" w:firstLineChars="192"/>
        <w:rPr>
          <w:rFonts w:ascii="仿宋_GB2312" w:eastAsia="仿宋_GB2312"/>
          <w:sz w:val="32"/>
          <w:szCs w:val="32"/>
        </w:rPr>
      </w:pPr>
      <w:r>
        <w:rPr>
          <w:rFonts w:hint="eastAsia" w:ascii="仿宋_GB2312" w:eastAsia="仿宋_GB2312"/>
          <w:sz w:val="32"/>
          <w:szCs w:val="32"/>
        </w:rPr>
        <w:t>在招标人收到撤销本授权的通知以前，本授权书一直有效。委托代理人在本次招标活动中所签订的一切文件和处理的与本次投标有关的一切事项，本法定代表人予以确认，其文件效力不因今后授权的撤消而失效。被授权人不得转授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本授权委托书在本次招标活动结束后自动终止。</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被授权人签名：</w:t>
      </w:r>
    </w:p>
    <w:p>
      <w:pPr>
        <w:spacing w:line="600" w:lineRule="exact"/>
        <w:rPr>
          <w:rFonts w:ascii="仿宋_GB2312" w:eastAsia="仿宋_GB2312"/>
          <w:sz w:val="32"/>
          <w:szCs w:val="32"/>
        </w:rPr>
      </w:pPr>
      <w:r>
        <w:rPr>
          <w:rFonts w:hint="eastAsia" w:ascii="仿宋_GB2312" w:eastAsia="仿宋_GB2312"/>
          <w:sz w:val="32"/>
          <w:szCs w:val="32"/>
        </w:rPr>
        <w:t>被授权人身份证号码：</w:t>
      </w:r>
    </w:p>
    <w:p>
      <w:pPr>
        <w:spacing w:line="600" w:lineRule="exact"/>
        <w:ind w:firstLine="4960" w:firstLineChars="1550"/>
        <w:rPr>
          <w:rFonts w:ascii="仿宋_GB2312" w:eastAsia="仿宋_GB2312"/>
          <w:sz w:val="32"/>
          <w:szCs w:val="32"/>
        </w:rPr>
      </w:pPr>
    </w:p>
    <w:p>
      <w:pPr>
        <w:spacing w:line="600" w:lineRule="exact"/>
        <w:ind w:firstLine="4800" w:firstLineChars="1500"/>
        <w:rPr>
          <w:rFonts w:ascii="仿宋_GB2312" w:eastAsia="仿宋_GB2312"/>
          <w:sz w:val="32"/>
          <w:szCs w:val="32"/>
        </w:rPr>
      </w:pPr>
      <w:r>
        <w:rPr>
          <w:rFonts w:hint="eastAsia" w:ascii="仿宋_GB2312" w:eastAsia="仿宋_GB2312"/>
          <w:sz w:val="32"/>
          <w:szCs w:val="32"/>
        </w:rPr>
        <w:t>投标单位（公章）：</w:t>
      </w:r>
    </w:p>
    <w:p>
      <w:pPr>
        <w:spacing w:line="600" w:lineRule="exact"/>
        <w:ind w:firstLine="4640" w:firstLineChars="1450"/>
        <w:rPr>
          <w:rFonts w:ascii="仿宋_GB2312" w:eastAsia="仿宋_GB2312"/>
          <w:sz w:val="32"/>
          <w:szCs w:val="32"/>
        </w:rPr>
      </w:pPr>
      <w:r>
        <w:rPr>
          <w:rFonts w:hint="eastAsia" w:ascii="仿宋_GB2312" w:eastAsia="仿宋_GB2312"/>
          <w:sz w:val="32"/>
          <w:szCs w:val="32"/>
        </w:rPr>
        <w:t>法定代表人（签字）：</w:t>
      </w:r>
    </w:p>
    <w:p>
      <w:pPr>
        <w:spacing w:line="600" w:lineRule="exact"/>
        <w:ind w:firstLine="5120" w:firstLineChars="1600"/>
        <w:rPr>
          <w:b/>
          <w:sz w:val="32"/>
          <w:szCs w:val="32"/>
        </w:rPr>
      </w:pPr>
      <w:r>
        <w:rPr>
          <w:rFonts w:hint="eastAsia" w:ascii="仿宋_GB2312" w:eastAsia="仿宋_GB2312"/>
          <w:sz w:val="32"/>
          <w:szCs w:val="32"/>
        </w:rPr>
        <w:t>年  月   日</w:t>
      </w:r>
    </w:p>
    <w:p>
      <w:pPr>
        <w:spacing w:line="600" w:lineRule="exact"/>
        <w:rPr>
          <w:b/>
          <w:sz w:val="32"/>
          <w:szCs w:val="32"/>
        </w:rPr>
      </w:pPr>
    </w:p>
    <w:p>
      <w:pPr>
        <w:rPr>
          <w:b/>
          <w:sz w:val="32"/>
          <w:szCs w:val="32"/>
        </w:rPr>
      </w:pPr>
      <w:r>
        <w:rPr>
          <w:rFonts w:hint="eastAsia"/>
          <w:b/>
          <w:sz w:val="32"/>
          <w:szCs w:val="32"/>
        </w:rPr>
        <w:br w:type="page"/>
      </w:r>
    </w:p>
    <w:p>
      <w:pPr>
        <w:spacing w:line="600" w:lineRule="exact"/>
        <w:rPr>
          <w:b/>
          <w:sz w:val="32"/>
          <w:szCs w:val="32"/>
        </w:rPr>
      </w:pPr>
      <w:r>
        <w:rPr>
          <w:rFonts w:hint="eastAsia"/>
          <w:b/>
          <w:sz w:val="32"/>
          <w:szCs w:val="32"/>
        </w:rPr>
        <w:t>附件三：投标单位承诺函</w:t>
      </w:r>
    </w:p>
    <w:p>
      <w:pPr>
        <w:spacing w:line="600" w:lineRule="exact"/>
        <w:rPr>
          <w:rFonts w:ascii="仿宋_GB2312" w:eastAsia="仿宋_GB2312"/>
          <w:sz w:val="32"/>
          <w:szCs w:val="32"/>
        </w:rPr>
      </w:pPr>
      <w:r>
        <w:rPr>
          <w:rFonts w:hint="eastAsia" w:ascii="仿宋_GB2312" w:eastAsia="仿宋_GB2312"/>
          <w:sz w:val="32"/>
          <w:szCs w:val="32"/>
        </w:rPr>
        <w:t>项目名称：</w:t>
      </w:r>
    </w:p>
    <w:p>
      <w:pPr>
        <w:spacing w:line="600" w:lineRule="exact"/>
        <w:rPr>
          <w:rFonts w:ascii="仿宋_GB2312" w:eastAsia="仿宋_GB2312"/>
          <w:sz w:val="32"/>
          <w:szCs w:val="32"/>
        </w:rPr>
      </w:pPr>
      <w:r>
        <w:rPr>
          <w:rFonts w:hint="eastAsia" w:ascii="仿宋_GB2312" w:eastAsia="仿宋_GB2312"/>
          <w:sz w:val="32"/>
          <w:szCs w:val="32"/>
        </w:rPr>
        <w:t>致：湖南康乃馨养老产业投资置业有限公司</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很荣幸能参与上述项目的竞争。我代表</w:t>
      </w:r>
      <w:r>
        <w:rPr>
          <w:rFonts w:hint="eastAsia" w:ascii="仿宋_GB2312" w:eastAsia="仿宋_GB2312"/>
          <w:sz w:val="32"/>
          <w:szCs w:val="32"/>
          <w:u w:val="single"/>
        </w:rPr>
        <w:t xml:space="preserve">                   </w:t>
      </w:r>
      <w:r>
        <w:rPr>
          <w:rFonts w:hint="eastAsia" w:ascii="仿宋_GB2312" w:eastAsia="仿宋_GB2312"/>
          <w:sz w:val="32"/>
          <w:szCs w:val="32"/>
        </w:rPr>
        <w:t>（企业全称），在此做如下承诺：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完全理解和接受贵方招标文件的一切规定和要求。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提供的项目为贵方招标文件中的所有项目。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 xml:space="preserve"> </w:t>
      </w:r>
      <w:r>
        <w:rPr>
          <w:rFonts w:hint="eastAsia" w:ascii="仿宋_GB2312" w:eastAsia="仿宋_GB2312"/>
          <w:sz w:val="32"/>
          <w:szCs w:val="32"/>
        </w:rPr>
        <w:t>提供的一切资料及证明均为真实有效，如做假将自动取消相关资格并承担相关责任。</w:t>
      </w:r>
    </w:p>
    <w:p>
      <w:pPr>
        <w:spacing w:line="6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我方理解，报价最低不是成交的唯一条件。</w:t>
      </w:r>
    </w:p>
    <w:p>
      <w:pPr>
        <w:spacing w:line="60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若成交，我方将按照招标文件的具体规定签订合同，并且严格履行合同义务。</w:t>
      </w:r>
    </w:p>
    <w:p>
      <w:pPr>
        <w:spacing w:line="60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在整个招标过程中，我方将严格遵守相关的法律法规，若有违法违规行为，将承担一切责任。</w:t>
      </w:r>
    </w:p>
    <w:p>
      <w:pPr>
        <w:spacing w:line="60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若成交，本承诺函将成为合同不可分割的一部分，与合同具有同等的法律效力。</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ind w:firstLine="5440" w:firstLineChars="1700"/>
        <w:rPr>
          <w:rFonts w:ascii="仿宋_GB2312" w:eastAsia="仿宋_GB2312"/>
          <w:sz w:val="32"/>
          <w:szCs w:val="32"/>
        </w:rPr>
      </w:pPr>
      <w:r>
        <w:rPr>
          <w:rFonts w:hint="eastAsia" w:ascii="仿宋_GB2312" w:eastAsia="仿宋_GB2312"/>
          <w:sz w:val="32"/>
          <w:szCs w:val="32"/>
        </w:rPr>
        <w:t>投标单位（公章）：</w:t>
      </w:r>
    </w:p>
    <w:p>
      <w:pPr>
        <w:spacing w:line="600" w:lineRule="exact"/>
        <w:ind w:firstLine="6080" w:firstLineChars="1900"/>
        <w:rPr>
          <w:rFonts w:ascii="仿宋_GB2312" w:eastAsia="仿宋_GB2312"/>
          <w:sz w:val="32"/>
          <w:szCs w:val="32"/>
        </w:rPr>
      </w:pPr>
      <w:r>
        <w:rPr>
          <w:rFonts w:hint="eastAsia" w:ascii="仿宋_GB2312" w:eastAsia="仿宋_GB2312"/>
          <w:sz w:val="32"/>
          <w:szCs w:val="32"/>
        </w:rPr>
        <w:t>年 月 日</w:t>
      </w:r>
    </w:p>
    <w:p>
      <w:pPr>
        <w:spacing w:line="600" w:lineRule="exact"/>
        <w:rPr>
          <w:b/>
          <w:sz w:val="32"/>
          <w:szCs w:val="32"/>
        </w:rPr>
      </w:pPr>
    </w:p>
    <w:p>
      <w:pPr>
        <w:spacing w:line="600" w:lineRule="exact"/>
        <w:rPr>
          <w:b/>
          <w:sz w:val="32"/>
          <w:szCs w:val="32"/>
        </w:rPr>
      </w:pPr>
    </w:p>
    <w:p>
      <w:pPr>
        <w:spacing w:line="600" w:lineRule="exact"/>
        <w:rPr>
          <w:b/>
          <w:sz w:val="28"/>
          <w:szCs w:val="28"/>
        </w:rPr>
      </w:pPr>
    </w:p>
    <w:p>
      <w:pPr>
        <w:rPr>
          <w:b/>
          <w:sz w:val="28"/>
          <w:szCs w:val="28"/>
        </w:rPr>
      </w:pPr>
      <w:r>
        <w:rPr>
          <w:rFonts w:hint="eastAsia"/>
          <w:b/>
          <w:sz w:val="28"/>
          <w:szCs w:val="28"/>
        </w:rPr>
        <w:br w:type="page"/>
      </w:r>
    </w:p>
    <w:p>
      <w:pPr>
        <w:spacing w:line="600" w:lineRule="exact"/>
        <w:rPr>
          <w:sz w:val="28"/>
          <w:szCs w:val="28"/>
        </w:rPr>
      </w:pPr>
      <w:r>
        <w:rPr>
          <w:rFonts w:hint="eastAsia"/>
          <w:b/>
          <w:sz w:val="28"/>
          <w:szCs w:val="28"/>
        </w:rPr>
        <w:t>附件四：相关业绩说明</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湖南康乃馨养老产业投资置业有限公司：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我司是从事投标所列项目的专业单位，近年来我司与众多单位保持良好的合作关系，具体如下：</w:t>
      </w:r>
    </w:p>
    <w:tbl>
      <w:tblPr>
        <w:tblStyle w:val="1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364"/>
        <w:gridCol w:w="2160"/>
        <w:gridCol w:w="21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04" w:type="dxa"/>
            <w:vAlign w:val="center"/>
          </w:tcPr>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364" w:type="dxa"/>
            <w:vAlign w:val="center"/>
          </w:tcPr>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时间</w:t>
            </w:r>
          </w:p>
        </w:tc>
        <w:tc>
          <w:tcPr>
            <w:tcW w:w="2160" w:type="dxa"/>
            <w:vAlign w:val="center"/>
          </w:tcPr>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客户名称</w:t>
            </w:r>
          </w:p>
        </w:tc>
        <w:tc>
          <w:tcPr>
            <w:tcW w:w="2160" w:type="dxa"/>
            <w:vAlign w:val="center"/>
          </w:tcPr>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1980" w:type="dxa"/>
            <w:vAlign w:val="center"/>
          </w:tcPr>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04" w:type="dxa"/>
            <w:vAlign w:val="center"/>
          </w:tcPr>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364" w:type="dxa"/>
            <w:vAlign w:val="center"/>
          </w:tcPr>
          <w:p>
            <w:pPr>
              <w:spacing w:line="600" w:lineRule="exact"/>
              <w:rPr>
                <w:rFonts w:ascii="仿宋_GB2312" w:hAnsi="仿宋_GB2312" w:eastAsia="仿宋_GB2312" w:cs="仿宋_GB2312"/>
                <w:sz w:val="32"/>
                <w:szCs w:val="32"/>
              </w:rPr>
            </w:pPr>
          </w:p>
        </w:tc>
        <w:tc>
          <w:tcPr>
            <w:tcW w:w="2160" w:type="dxa"/>
            <w:vAlign w:val="center"/>
          </w:tcPr>
          <w:p>
            <w:pPr>
              <w:spacing w:line="600" w:lineRule="exact"/>
              <w:rPr>
                <w:rFonts w:ascii="仿宋_GB2312" w:hAnsi="仿宋_GB2312" w:eastAsia="仿宋_GB2312" w:cs="仿宋_GB2312"/>
                <w:sz w:val="32"/>
                <w:szCs w:val="32"/>
              </w:rPr>
            </w:pPr>
          </w:p>
        </w:tc>
        <w:tc>
          <w:tcPr>
            <w:tcW w:w="2160" w:type="dxa"/>
            <w:vAlign w:val="center"/>
          </w:tcPr>
          <w:p>
            <w:pPr>
              <w:spacing w:line="600" w:lineRule="exact"/>
              <w:rPr>
                <w:rFonts w:ascii="仿宋_GB2312" w:hAnsi="仿宋_GB2312" w:eastAsia="仿宋_GB2312" w:cs="仿宋_GB2312"/>
                <w:sz w:val="32"/>
                <w:szCs w:val="32"/>
              </w:rPr>
            </w:pPr>
          </w:p>
        </w:tc>
        <w:tc>
          <w:tcPr>
            <w:tcW w:w="1980" w:type="dxa"/>
            <w:vAlign w:val="center"/>
          </w:tcPr>
          <w:p>
            <w:pPr>
              <w:spacing w:line="60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04" w:type="dxa"/>
            <w:vAlign w:val="center"/>
          </w:tcPr>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364" w:type="dxa"/>
            <w:vAlign w:val="center"/>
          </w:tcPr>
          <w:p>
            <w:pPr>
              <w:spacing w:line="600" w:lineRule="exact"/>
              <w:rPr>
                <w:rFonts w:ascii="仿宋_GB2312" w:hAnsi="仿宋_GB2312" w:eastAsia="仿宋_GB2312" w:cs="仿宋_GB2312"/>
                <w:sz w:val="32"/>
                <w:szCs w:val="32"/>
              </w:rPr>
            </w:pPr>
          </w:p>
        </w:tc>
        <w:tc>
          <w:tcPr>
            <w:tcW w:w="2160" w:type="dxa"/>
            <w:vAlign w:val="center"/>
          </w:tcPr>
          <w:p>
            <w:pPr>
              <w:spacing w:line="600" w:lineRule="exact"/>
              <w:rPr>
                <w:rFonts w:ascii="仿宋_GB2312" w:hAnsi="仿宋_GB2312" w:eastAsia="仿宋_GB2312" w:cs="仿宋_GB2312"/>
                <w:sz w:val="32"/>
                <w:szCs w:val="32"/>
              </w:rPr>
            </w:pPr>
          </w:p>
        </w:tc>
        <w:tc>
          <w:tcPr>
            <w:tcW w:w="2160" w:type="dxa"/>
            <w:vAlign w:val="center"/>
          </w:tcPr>
          <w:p>
            <w:pPr>
              <w:spacing w:line="600" w:lineRule="exact"/>
              <w:rPr>
                <w:rFonts w:ascii="仿宋_GB2312" w:hAnsi="仿宋_GB2312" w:eastAsia="仿宋_GB2312" w:cs="仿宋_GB2312"/>
                <w:sz w:val="32"/>
                <w:szCs w:val="32"/>
              </w:rPr>
            </w:pPr>
          </w:p>
        </w:tc>
        <w:tc>
          <w:tcPr>
            <w:tcW w:w="1980" w:type="dxa"/>
            <w:vAlign w:val="center"/>
          </w:tcPr>
          <w:p>
            <w:pPr>
              <w:spacing w:line="60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04" w:type="dxa"/>
            <w:vAlign w:val="center"/>
          </w:tcPr>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364" w:type="dxa"/>
            <w:vAlign w:val="center"/>
          </w:tcPr>
          <w:p>
            <w:pPr>
              <w:spacing w:line="600" w:lineRule="exact"/>
              <w:rPr>
                <w:rFonts w:ascii="仿宋_GB2312" w:hAnsi="仿宋_GB2312" w:eastAsia="仿宋_GB2312" w:cs="仿宋_GB2312"/>
                <w:sz w:val="32"/>
                <w:szCs w:val="32"/>
              </w:rPr>
            </w:pPr>
          </w:p>
        </w:tc>
        <w:tc>
          <w:tcPr>
            <w:tcW w:w="2160" w:type="dxa"/>
            <w:vAlign w:val="center"/>
          </w:tcPr>
          <w:p>
            <w:pPr>
              <w:spacing w:line="600" w:lineRule="exact"/>
              <w:rPr>
                <w:rFonts w:ascii="仿宋_GB2312" w:hAnsi="仿宋_GB2312" w:eastAsia="仿宋_GB2312" w:cs="仿宋_GB2312"/>
                <w:sz w:val="32"/>
                <w:szCs w:val="32"/>
              </w:rPr>
            </w:pPr>
          </w:p>
        </w:tc>
        <w:tc>
          <w:tcPr>
            <w:tcW w:w="2160" w:type="dxa"/>
            <w:vAlign w:val="center"/>
          </w:tcPr>
          <w:p>
            <w:pPr>
              <w:spacing w:line="600" w:lineRule="exact"/>
              <w:rPr>
                <w:rFonts w:ascii="仿宋_GB2312" w:hAnsi="仿宋_GB2312" w:eastAsia="仿宋_GB2312" w:cs="仿宋_GB2312"/>
                <w:sz w:val="32"/>
                <w:szCs w:val="32"/>
              </w:rPr>
            </w:pPr>
          </w:p>
        </w:tc>
        <w:tc>
          <w:tcPr>
            <w:tcW w:w="1980" w:type="dxa"/>
            <w:vAlign w:val="center"/>
          </w:tcPr>
          <w:p>
            <w:pPr>
              <w:spacing w:line="60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04" w:type="dxa"/>
            <w:vAlign w:val="center"/>
          </w:tcPr>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364" w:type="dxa"/>
            <w:vAlign w:val="center"/>
          </w:tcPr>
          <w:p>
            <w:pPr>
              <w:spacing w:line="600" w:lineRule="exact"/>
              <w:rPr>
                <w:rFonts w:ascii="仿宋_GB2312" w:hAnsi="仿宋_GB2312" w:eastAsia="仿宋_GB2312" w:cs="仿宋_GB2312"/>
                <w:sz w:val="32"/>
                <w:szCs w:val="32"/>
              </w:rPr>
            </w:pPr>
          </w:p>
        </w:tc>
        <w:tc>
          <w:tcPr>
            <w:tcW w:w="2160" w:type="dxa"/>
            <w:vAlign w:val="center"/>
          </w:tcPr>
          <w:p>
            <w:pPr>
              <w:spacing w:line="600" w:lineRule="exact"/>
              <w:rPr>
                <w:rFonts w:ascii="仿宋_GB2312" w:hAnsi="仿宋_GB2312" w:eastAsia="仿宋_GB2312" w:cs="仿宋_GB2312"/>
                <w:sz w:val="32"/>
                <w:szCs w:val="32"/>
              </w:rPr>
            </w:pPr>
          </w:p>
        </w:tc>
        <w:tc>
          <w:tcPr>
            <w:tcW w:w="2160" w:type="dxa"/>
            <w:vAlign w:val="center"/>
          </w:tcPr>
          <w:p>
            <w:pPr>
              <w:spacing w:line="600" w:lineRule="exact"/>
              <w:rPr>
                <w:rFonts w:ascii="仿宋_GB2312" w:hAnsi="仿宋_GB2312" w:eastAsia="仿宋_GB2312" w:cs="仿宋_GB2312"/>
                <w:sz w:val="32"/>
                <w:szCs w:val="32"/>
              </w:rPr>
            </w:pPr>
          </w:p>
        </w:tc>
        <w:tc>
          <w:tcPr>
            <w:tcW w:w="1980" w:type="dxa"/>
            <w:vAlign w:val="center"/>
          </w:tcPr>
          <w:p>
            <w:pPr>
              <w:spacing w:line="60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04" w:type="dxa"/>
            <w:vAlign w:val="center"/>
          </w:tcPr>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364" w:type="dxa"/>
            <w:vAlign w:val="center"/>
          </w:tcPr>
          <w:p>
            <w:pPr>
              <w:spacing w:line="600" w:lineRule="exact"/>
              <w:rPr>
                <w:rFonts w:ascii="仿宋_GB2312" w:hAnsi="仿宋_GB2312" w:eastAsia="仿宋_GB2312" w:cs="仿宋_GB2312"/>
                <w:sz w:val="32"/>
                <w:szCs w:val="32"/>
              </w:rPr>
            </w:pPr>
          </w:p>
        </w:tc>
        <w:tc>
          <w:tcPr>
            <w:tcW w:w="2160" w:type="dxa"/>
            <w:vAlign w:val="center"/>
          </w:tcPr>
          <w:p>
            <w:pPr>
              <w:spacing w:line="600" w:lineRule="exact"/>
              <w:rPr>
                <w:rFonts w:ascii="仿宋_GB2312" w:hAnsi="仿宋_GB2312" w:eastAsia="仿宋_GB2312" w:cs="仿宋_GB2312"/>
                <w:sz w:val="32"/>
                <w:szCs w:val="32"/>
              </w:rPr>
            </w:pPr>
          </w:p>
        </w:tc>
        <w:tc>
          <w:tcPr>
            <w:tcW w:w="2160" w:type="dxa"/>
            <w:vAlign w:val="center"/>
          </w:tcPr>
          <w:p>
            <w:pPr>
              <w:spacing w:line="600" w:lineRule="exact"/>
              <w:rPr>
                <w:rFonts w:ascii="仿宋_GB2312" w:hAnsi="仿宋_GB2312" w:eastAsia="仿宋_GB2312" w:cs="仿宋_GB2312"/>
                <w:sz w:val="32"/>
                <w:szCs w:val="32"/>
              </w:rPr>
            </w:pPr>
          </w:p>
        </w:tc>
        <w:tc>
          <w:tcPr>
            <w:tcW w:w="1980" w:type="dxa"/>
            <w:vAlign w:val="center"/>
          </w:tcPr>
          <w:p>
            <w:pPr>
              <w:spacing w:line="60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04" w:type="dxa"/>
            <w:vAlign w:val="center"/>
          </w:tcPr>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364" w:type="dxa"/>
            <w:vAlign w:val="center"/>
          </w:tcPr>
          <w:p>
            <w:pPr>
              <w:spacing w:line="600" w:lineRule="exact"/>
              <w:rPr>
                <w:rFonts w:ascii="仿宋_GB2312" w:hAnsi="仿宋_GB2312" w:eastAsia="仿宋_GB2312" w:cs="仿宋_GB2312"/>
                <w:sz w:val="32"/>
                <w:szCs w:val="32"/>
              </w:rPr>
            </w:pPr>
          </w:p>
        </w:tc>
        <w:tc>
          <w:tcPr>
            <w:tcW w:w="2160" w:type="dxa"/>
            <w:vAlign w:val="center"/>
          </w:tcPr>
          <w:p>
            <w:pPr>
              <w:spacing w:line="600" w:lineRule="exact"/>
              <w:rPr>
                <w:rFonts w:ascii="仿宋_GB2312" w:hAnsi="仿宋_GB2312" w:eastAsia="仿宋_GB2312" w:cs="仿宋_GB2312"/>
                <w:sz w:val="32"/>
                <w:szCs w:val="32"/>
              </w:rPr>
            </w:pPr>
          </w:p>
        </w:tc>
        <w:tc>
          <w:tcPr>
            <w:tcW w:w="2160" w:type="dxa"/>
            <w:vAlign w:val="center"/>
          </w:tcPr>
          <w:p>
            <w:pPr>
              <w:spacing w:line="600" w:lineRule="exact"/>
              <w:rPr>
                <w:rFonts w:ascii="仿宋_GB2312" w:hAnsi="仿宋_GB2312" w:eastAsia="仿宋_GB2312" w:cs="仿宋_GB2312"/>
                <w:sz w:val="32"/>
                <w:szCs w:val="32"/>
              </w:rPr>
            </w:pPr>
          </w:p>
        </w:tc>
        <w:tc>
          <w:tcPr>
            <w:tcW w:w="1980" w:type="dxa"/>
            <w:vAlign w:val="center"/>
          </w:tcPr>
          <w:p>
            <w:pPr>
              <w:spacing w:line="60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04" w:type="dxa"/>
            <w:vAlign w:val="center"/>
          </w:tcPr>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1364" w:type="dxa"/>
            <w:vAlign w:val="center"/>
          </w:tcPr>
          <w:p>
            <w:pPr>
              <w:spacing w:line="600" w:lineRule="exact"/>
              <w:rPr>
                <w:rFonts w:ascii="仿宋_GB2312" w:hAnsi="仿宋_GB2312" w:eastAsia="仿宋_GB2312" w:cs="仿宋_GB2312"/>
                <w:sz w:val="32"/>
                <w:szCs w:val="32"/>
              </w:rPr>
            </w:pPr>
          </w:p>
        </w:tc>
        <w:tc>
          <w:tcPr>
            <w:tcW w:w="2160" w:type="dxa"/>
            <w:vAlign w:val="center"/>
          </w:tcPr>
          <w:p>
            <w:pPr>
              <w:spacing w:line="600" w:lineRule="exact"/>
              <w:rPr>
                <w:rFonts w:ascii="仿宋_GB2312" w:hAnsi="仿宋_GB2312" w:eastAsia="仿宋_GB2312" w:cs="仿宋_GB2312"/>
                <w:sz w:val="32"/>
                <w:szCs w:val="32"/>
              </w:rPr>
            </w:pPr>
          </w:p>
        </w:tc>
        <w:tc>
          <w:tcPr>
            <w:tcW w:w="2160" w:type="dxa"/>
            <w:vAlign w:val="center"/>
          </w:tcPr>
          <w:p>
            <w:pPr>
              <w:spacing w:line="600" w:lineRule="exact"/>
              <w:rPr>
                <w:rFonts w:ascii="仿宋_GB2312" w:hAnsi="仿宋_GB2312" w:eastAsia="仿宋_GB2312" w:cs="仿宋_GB2312"/>
                <w:sz w:val="32"/>
                <w:szCs w:val="32"/>
              </w:rPr>
            </w:pPr>
          </w:p>
        </w:tc>
        <w:tc>
          <w:tcPr>
            <w:tcW w:w="1980" w:type="dxa"/>
            <w:vAlign w:val="center"/>
          </w:tcPr>
          <w:p>
            <w:pPr>
              <w:spacing w:line="60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04" w:type="dxa"/>
            <w:vAlign w:val="center"/>
          </w:tcPr>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1364" w:type="dxa"/>
            <w:vAlign w:val="center"/>
          </w:tcPr>
          <w:p>
            <w:pPr>
              <w:spacing w:line="600" w:lineRule="exact"/>
              <w:rPr>
                <w:rFonts w:ascii="仿宋_GB2312" w:hAnsi="仿宋_GB2312" w:eastAsia="仿宋_GB2312" w:cs="仿宋_GB2312"/>
                <w:sz w:val="32"/>
                <w:szCs w:val="32"/>
              </w:rPr>
            </w:pPr>
          </w:p>
        </w:tc>
        <w:tc>
          <w:tcPr>
            <w:tcW w:w="2160" w:type="dxa"/>
            <w:vAlign w:val="center"/>
          </w:tcPr>
          <w:p>
            <w:pPr>
              <w:spacing w:line="600" w:lineRule="exact"/>
              <w:rPr>
                <w:rFonts w:ascii="仿宋_GB2312" w:hAnsi="仿宋_GB2312" w:eastAsia="仿宋_GB2312" w:cs="仿宋_GB2312"/>
                <w:sz w:val="32"/>
                <w:szCs w:val="32"/>
              </w:rPr>
            </w:pPr>
          </w:p>
        </w:tc>
        <w:tc>
          <w:tcPr>
            <w:tcW w:w="2160" w:type="dxa"/>
            <w:vAlign w:val="center"/>
          </w:tcPr>
          <w:p>
            <w:pPr>
              <w:spacing w:line="600" w:lineRule="exact"/>
              <w:rPr>
                <w:rFonts w:ascii="仿宋_GB2312" w:hAnsi="仿宋_GB2312" w:eastAsia="仿宋_GB2312" w:cs="仿宋_GB2312"/>
                <w:sz w:val="32"/>
                <w:szCs w:val="32"/>
              </w:rPr>
            </w:pPr>
          </w:p>
        </w:tc>
        <w:tc>
          <w:tcPr>
            <w:tcW w:w="1980" w:type="dxa"/>
            <w:vAlign w:val="center"/>
          </w:tcPr>
          <w:p>
            <w:pPr>
              <w:spacing w:line="60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04" w:type="dxa"/>
            <w:vAlign w:val="center"/>
          </w:tcPr>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1364" w:type="dxa"/>
            <w:vAlign w:val="center"/>
          </w:tcPr>
          <w:p>
            <w:pPr>
              <w:spacing w:line="600" w:lineRule="exact"/>
              <w:rPr>
                <w:rFonts w:ascii="仿宋_GB2312" w:hAnsi="仿宋_GB2312" w:eastAsia="仿宋_GB2312" w:cs="仿宋_GB2312"/>
                <w:sz w:val="32"/>
                <w:szCs w:val="32"/>
              </w:rPr>
            </w:pPr>
          </w:p>
        </w:tc>
        <w:tc>
          <w:tcPr>
            <w:tcW w:w="2160" w:type="dxa"/>
            <w:vAlign w:val="center"/>
          </w:tcPr>
          <w:p>
            <w:pPr>
              <w:spacing w:line="600" w:lineRule="exact"/>
              <w:rPr>
                <w:rFonts w:ascii="仿宋_GB2312" w:hAnsi="仿宋_GB2312" w:eastAsia="仿宋_GB2312" w:cs="仿宋_GB2312"/>
                <w:sz w:val="32"/>
                <w:szCs w:val="32"/>
              </w:rPr>
            </w:pPr>
          </w:p>
        </w:tc>
        <w:tc>
          <w:tcPr>
            <w:tcW w:w="2160" w:type="dxa"/>
            <w:vAlign w:val="center"/>
          </w:tcPr>
          <w:p>
            <w:pPr>
              <w:spacing w:line="600" w:lineRule="exact"/>
              <w:rPr>
                <w:rFonts w:ascii="仿宋_GB2312" w:hAnsi="仿宋_GB2312" w:eastAsia="仿宋_GB2312" w:cs="仿宋_GB2312"/>
                <w:sz w:val="32"/>
                <w:szCs w:val="32"/>
              </w:rPr>
            </w:pPr>
          </w:p>
        </w:tc>
        <w:tc>
          <w:tcPr>
            <w:tcW w:w="1980" w:type="dxa"/>
            <w:vAlign w:val="center"/>
          </w:tcPr>
          <w:p>
            <w:pPr>
              <w:spacing w:line="60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04" w:type="dxa"/>
            <w:vAlign w:val="center"/>
          </w:tcPr>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1364" w:type="dxa"/>
            <w:vAlign w:val="center"/>
          </w:tcPr>
          <w:p>
            <w:pPr>
              <w:spacing w:line="600" w:lineRule="exact"/>
              <w:rPr>
                <w:rFonts w:ascii="仿宋_GB2312" w:hAnsi="仿宋_GB2312" w:eastAsia="仿宋_GB2312" w:cs="仿宋_GB2312"/>
                <w:sz w:val="32"/>
                <w:szCs w:val="32"/>
              </w:rPr>
            </w:pPr>
          </w:p>
        </w:tc>
        <w:tc>
          <w:tcPr>
            <w:tcW w:w="2160" w:type="dxa"/>
            <w:vAlign w:val="center"/>
          </w:tcPr>
          <w:p>
            <w:pPr>
              <w:spacing w:line="600" w:lineRule="exact"/>
              <w:rPr>
                <w:rFonts w:ascii="仿宋_GB2312" w:hAnsi="仿宋_GB2312" w:eastAsia="仿宋_GB2312" w:cs="仿宋_GB2312"/>
                <w:sz w:val="32"/>
                <w:szCs w:val="32"/>
              </w:rPr>
            </w:pPr>
          </w:p>
        </w:tc>
        <w:tc>
          <w:tcPr>
            <w:tcW w:w="2160" w:type="dxa"/>
            <w:vAlign w:val="center"/>
          </w:tcPr>
          <w:p>
            <w:pPr>
              <w:spacing w:line="600" w:lineRule="exact"/>
              <w:rPr>
                <w:rFonts w:ascii="仿宋_GB2312" w:hAnsi="仿宋_GB2312" w:eastAsia="仿宋_GB2312" w:cs="仿宋_GB2312"/>
                <w:sz w:val="32"/>
                <w:szCs w:val="32"/>
              </w:rPr>
            </w:pPr>
          </w:p>
        </w:tc>
        <w:tc>
          <w:tcPr>
            <w:tcW w:w="1980" w:type="dxa"/>
            <w:vAlign w:val="center"/>
          </w:tcPr>
          <w:p>
            <w:pPr>
              <w:spacing w:line="600" w:lineRule="exact"/>
              <w:rPr>
                <w:rFonts w:ascii="仿宋_GB2312" w:hAnsi="仿宋_GB2312" w:eastAsia="仿宋_GB2312" w:cs="仿宋_GB2312"/>
                <w:sz w:val="32"/>
                <w:szCs w:val="32"/>
              </w:rPr>
            </w:pPr>
          </w:p>
        </w:tc>
      </w:tr>
    </w:tbl>
    <w:p>
      <w:pPr>
        <w:spacing w:line="600" w:lineRule="exact"/>
        <w:rPr>
          <w:rFonts w:ascii="仿宋_GB2312" w:hAnsi="仿宋_GB2312" w:eastAsia="仿宋_GB2312" w:cs="仿宋_GB2312"/>
          <w:sz w:val="32"/>
          <w:szCs w:val="32"/>
        </w:rPr>
      </w:pPr>
    </w:p>
    <w:p>
      <w:pPr>
        <w:spacing w:line="600" w:lineRule="exact"/>
        <w:rPr>
          <w:rFonts w:ascii="楷体_GB2312" w:eastAsia="楷体_GB2312"/>
          <w:sz w:val="28"/>
          <w:szCs w:val="28"/>
        </w:rPr>
      </w:pPr>
      <w:r>
        <w:rPr>
          <w:rFonts w:hint="eastAsia" w:ascii="楷体_GB2312" w:eastAsia="楷体_GB2312"/>
          <w:sz w:val="28"/>
          <w:szCs w:val="28"/>
        </w:rPr>
        <w:t>备注：</w:t>
      </w:r>
    </w:p>
    <w:p>
      <w:pPr>
        <w:spacing w:line="600" w:lineRule="exact"/>
        <w:rPr>
          <w:rFonts w:ascii="楷体_GB2312" w:eastAsia="楷体_GB2312"/>
          <w:sz w:val="28"/>
          <w:szCs w:val="28"/>
        </w:rPr>
      </w:pPr>
      <w:r>
        <w:rPr>
          <w:rFonts w:hint="eastAsia" w:ascii="楷体_GB2312" w:eastAsia="楷体_GB2312"/>
          <w:sz w:val="28"/>
          <w:szCs w:val="28"/>
        </w:rPr>
        <w:t>1、请附二份及以上近二年内单批次相关合同（或发票）复印件（合同首页、尾页和总金额页的复印件亦可），同时加盖投标单位的公司公章，如有保密需求，可隐去相关关键字。</w:t>
      </w:r>
    </w:p>
    <w:p>
      <w:pPr>
        <w:spacing w:line="600" w:lineRule="exact"/>
        <w:rPr>
          <w:rFonts w:ascii="楷体_GB2312" w:eastAsia="楷体_GB2312"/>
          <w:sz w:val="28"/>
          <w:szCs w:val="28"/>
        </w:rPr>
      </w:pPr>
      <w:r>
        <w:rPr>
          <w:rFonts w:hint="eastAsia" w:ascii="楷体_GB2312" w:eastAsia="楷体_GB2312"/>
          <w:sz w:val="28"/>
          <w:szCs w:val="28"/>
        </w:rPr>
        <w:t>2、未提供合同或发票的业绩在评分细则中不作为有效业绩考评。</w:t>
      </w:r>
    </w:p>
    <w:p>
      <w:pPr>
        <w:spacing w:line="600" w:lineRule="exact"/>
        <w:rPr>
          <w:b/>
          <w:sz w:val="28"/>
          <w:szCs w:val="28"/>
        </w:rPr>
      </w:pPr>
    </w:p>
    <w:p>
      <w:pPr>
        <w:spacing w:line="600" w:lineRule="exact"/>
        <w:rPr>
          <w:b/>
          <w:sz w:val="28"/>
          <w:szCs w:val="28"/>
        </w:rPr>
      </w:pPr>
    </w:p>
    <w:p>
      <w:pPr>
        <w:rPr>
          <w:b/>
          <w:sz w:val="28"/>
          <w:szCs w:val="28"/>
        </w:rPr>
      </w:pPr>
      <w:r>
        <w:rPr>
          <w:rFonts w:hint="eastAsia"/>
          <w:b/>
          <w:sz w:val="28"/>
          <w:szCs w:val="28"/>
        </w:rPr>
        <w:br w:type="page"/>
      </w:r>
    </w:p>
    <w:p>
      <w:pPr>
        <w:spacing w:line="600" w:lineRule="exact"/>
        <w:rPr>
          <w:b/>
          <w:sz w:val="28"/>
          <w:szCs w:val="28"/>
        </w:rPr>
      </w:pPr>
      <w:r>
        <w:rPr>
          <w:rFonts w:hint="eastAsia"/>
          <w:b/>
          <w:sz w:val="28"/>
          <w:szCs w:val="28"/>
        </w:rPr>
        <w:t>附件五：报价单</w:t>
      </w:r>
    </w:p>
    <w:p>
      <w:pPr>
        <w:spacing w:line="600" w:lineRule="exact"/>
        <w:rPr>
          <w:rFonts w:ascii="仿宋_GB2312" w:eastAsia="仿宋_GB2312"/>
          <w:sz w:val="28"/>
          <w:szCs w:val="28"/>
        </w:rPr>
      </w:pPr>
      <w:r>
        <w:rPr>
          <w:rFonts w:hint="eastAsia" w:ascii="仿宋_GB2312" w:eastAsia="仿宋_GB2312"/>
          <w:sz w:val="28"/>
          <w:szCs w:val="28"/>
        </w:rPr>
        <w:t xml:space="preserve">项目名称：                                             </w:t>
      </w: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r>
        <w:rPr>
          <w:rFonts w:hint="eastAsia" w:ascii="仿宋_GB2312" w:eastAsia="仿宋_GB2312"/>
          <w:sz w:val="28"/>
          <w:szCs w:val="28"/>
        </w:rPr>
        <w:t>报价函格式请自拟</w:t>
      </w: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ind w:firstLine="4480" w:firstLineChars="1600"/>
        <w:rPr>
          <w:rFonts w:ascii="仿宋_GB2312" w:eastAsia="仿宋_GB2312"/>
          <w:sz w:val="28"/>
          <w:szCs w:val="28"/>
        </w:rPr>
      </w:pPr>
      <w:r>
        <w:rPr>
          <w:rFonts w:hint="eastAsia" w:ascii="仿宋_GB2312" w:eastAsia="仿宋_GB2312"/>
          <w:sz w:val="28"/>
          <w:szCs w:val="28"/>
        </w:rPr>
        <w:t>投标单位（盖章）：</w:t>
      </w:r>
    </w:p>
    <w:p>
      <w:pPr>
        <w:spacing w:line="600" w:lineRule="exact"/>
        <w:ind w:firstLine="4900" w:firstLineChars="1750"/>
        <w:rPr>
          <w:rFonts w:ascii="仿宋_GB2312" w:eastAsia="仿宋_GB2312"/>
          <w:sz w:val="28"/>
          <w:szCs w:val="28"/>
        </w:rPr>
      </w:pPr>
      <w:r>
        <w:rPr>
          <w:rFonts w:hint="eastAsia" w:ascii="仿宋_GB2312" w:eastAsia="仿宋_GB2312"/>
          <w:sz w:val="28"/>
          <w:szCs w:val="28"/>
        </w:rPr>
        <w:t>日 期：</w:t>
      </w:r>
    </w:p>
    <w:p>
      <w:pPr>
        <w:spacing w:line="600" w:lineRule="exact"/>
        <w:rPr>
          <w:rFonts w:ascii="仿宋_GB2312" w:eastAsia="仿宋_GB2312"/>
          <w:sz w:val="28"/>
          <w:szCs w:val="28"/>
        </w:rPr>
      </w:pPr>
    </w:p>
    <w:p>
      <w:pPr>
        <w:pStyle w:val="3"/>
      </w:pPr>
    </w:p>
    <w:p>
      <w:pPr>
        <w:rPr>
          <w:b/>
          <w:sz w:val="28"/>
          <w:szCs w:val="28"/>
        </w:rPr>
      </w:pPr>
      <w:r>
        <w:rPr>
          <w:rFonts w:hint="eastAsia"/>
          <w:b/>
          <w:sz w:val="28"/>
          <w:szCs w:val="28"/>
        </w:rPr>
        <w:br w:type="page"/>
      </w:r>
    </w:p>
    <w:p>
      <w:pPr>
        <w:tabs>
          <w:tab w:val="left" w:pos="1260"/>
          <w:tab w:val="left" w:pos="1980"/>
        </w:tabs>
        <w:spacing w:line="600" w:lineRule="exact"/>
        <w:rPr>
          <w:b/>
          <w:sz w:val="28"/>
          <w:szCs w:val="28"/>
        </w:rPr>
      </w:pPr>
      <w:r>
        <w:rPr>
          <w:rFonts w:hint="eastAsia"/>
          <w:b/>
          <w:sz w:val="28"/>
          <w:szCs w:val="28"/>
        </w:rPr>
        <w:t>附件六：</w:t>
      </w:r>
    </w:p>
    <w:p>
      <w:pPr>
        <w:spacing w:line="600" w:lineRule="exact"/>
        <w:rPr>
          <w:b/>
          <w:sz w:val="28"/>
          <w:szCs w:val="28"/>
        </w:rPr>
      </w:pPr>
      <w:r>
        <w:rPr>
          <w:rFonts w:hint="eastAsia"/>
          <w:b/>
          <w:sz w:val="28"/>
          <w:szCs w:val="28"/>
        </w:rPr>
        <w:t>项目评审标准</w:t>
      </w:r>
    </w:p>
    <w:tbl>
      <w:tblPr>
        <w:tblStyle w:val="14"/>
        <w:tblpPr w:leftFromText="180" w:rightFromText="180" w:vertAnchor="text" w:horzAnchor="page" w:tblpX="1510" w:tblpY="534"/>
        <w:tblOverlap w:val="never"/>
        <w:tblW w:w="9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488"/>
        <w:gridCol w:w="5770"/>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4" w:hRule="exact"/>
        </w:trPr>
        <w:tc>
          <w:tcPr>
            <w:tcW w:w="747" w:type="dxa"/>
            <w:vAlign w:val="center"/>
          </w:tcPr>
          <w:p>
            <w:pPr>
              <w:widowControl/>
              <w:spacing w:line="400" w:lineRule="exact"/>
              <w:rPr>
                <w:rFonts w:ascii="仿宋" w:hAnsi="仿宋" w:eastAsia="仿宋" w:cs="仿宋"/>
                <w:kern w:val="0"/>
                <w:szCs w:val="21"/>
              </w:rPr>
            </w:pPr>
            <w:r>
              <w:rPr>
                <w:rFonts w:hint="eastAsia" w:ascii="仿宋" w:hAnsi="仿宋" w:eastAsia="仿宋" w:cs="仿宋"/>
                <w:kern w:val="0"/>
                <w:szCs w:val="21"/>
              </w:rPr>
              <w:t>序号</w:t>
            </w:r>
          </w:p>
        </w:tc>
        <w:tc>
          <w:tcPr>
            <w:tcW w:w="1488" w:type="dxa"/>
            <w:vAlign w:val="center"/>
          </w:tcPr>
          <w:p>
            <w:pPr>
              <w:widowControl/>
              <w:spacing w:line="400" w:lineRule="exact"/>
              <w:ind w:right="-212" w:firstLine="210" w:firstLineChars="100"/>
              <w:rPr>
                <w:rFonts w:ascii="仿宋" w:hAnsi="仿宋" w:eastAsia="仿宋" w:cs="仿宋"/>
                <w:kern w:val="0"/>
                <w:szCs w:val="21"/>
              </w:rPr>
            </w:pPr>
            <w:r>
              <w:rPr>
                <w:rFonts w:hint="eastAsia" w:ascii="仿宋" w:hAnsi="仿宋" w:eastAsia="仿宋" w:cs="仿宋"/>
                <w:kern w:val="0"/>
                <w:szCs w:val="21"/>
              </w:rPr>
              <w:t>评审项目</w:t>
            </w:r>
          </w:p>
        </w:tc>
        <w:tc>
          <w:tcPr>
            <w:tcW w:w="5770" w:type="dxa"/>
            <w:vAlign w:val="center"/>
          </w:tcPr>
          <w:p>
            <w:pPr>
              <w:widowControl/>
              <w:spacing w:line="400" w:lineRule="exact"/>
              <w:ind w:right="-212"/>
              <w:rPr>
                <w:rFonts w:ascii="仿宋" w:hAnsi="仿宋" w:eastAsia="仿宋" w:cs="仿宋"/>
                <w:kern w:val="0"/>
                <w:szCs w:val="21"/>
              </w:rPr>
            </w:pPr>
            <w:r>
              <w:rPr>
                <w:rFonts w:hint="eastAsia" w:ascii="仿宋" w:hAnsi="仿宋" w:eastAsia="仿宋" w:cs="仿宋"/>
                <w:kern w:val="0"/>
                <w:szCs w:val="21"/>
              </w:rPr>
              <w:t>评审标准</w:t>
            </w:r>
          </w:p>
        </w:tc>
        <w:tc>
          <w:tcPr>
            <w:tcW w:w="1120" w:type="dxa"/>
            <w:vAlign w:val="center"/>
          </w:tcPr>
          <w:p>
            <w:pPr>
              <w:widowControl/>
              <w:spacing w:line="400" w:lineRule="exact"/>
              <w:ind w:firstLine="210" w:firstLineChars="100"/>
              <w:rPr>
                <w:rFonts w:ascii="仿宋" w:hAnsi="仿宋" w:eastAsia="仿宋" w:cs="仿宋"/>
                <w:kern w:val="0"/>
                <w:szCs w:val="21"/>
              </w:rPr>
            </w:pPr>
            <w:r>
              <w:rPr>
                <w:rFonts w:hint="eastAsia" w:ascii="仿宋" w:hAnsi="仿宋" w:eastAsia="仿宋" w:cs="仿宋"/>
                <w:kern w:val="0"/>
                <w:szCs w:val="21"/>
              </w:rPr>
              <w:t>评审</w:t>
            </w:r>
          </w:p>
          <w:p>
            <w:pPr>
              <w:widowControl/>
              <w:spacing w:line="400" w:lineRule="exact"/>
              <w:ind w:firstLine="210" w:firstLineChars="100"/>
              <w:rPr>
                <w:rFonts w:ascii="仿宋" w:hAnsi="仿宋" w:eastAsia="仿宋" w:cs="仿宋"/>
                <w:kern w:val="0"/>
                <w:szCs w:val="21"/>
              </w:rPr>
            </w:pPr>
            <w:r>
              <w:rPr>
                <w:rFonts w:hint="eastAsia" w:ascii="仿宋" w:hAnsi="仿宋" w:eastAsia="仿宋" w:cs="仿宋"/>
                <w:kern w:val="0"/>
                <w:szCs w:val="21"/>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1" w:hRule="exact"/>
        </w:trPr>
        <w:tc>
          <w:tcPr>
            <w:tcW w:w="747" w:type="dxa"/>
            <w:vAlign w:val="center"/>
          </w:tcPr>
          <w:p>
            <w:pPr>
              <w:widowControl/>
              <w:spacing w:line="400" w:lineRule="exact"/>
              <w:rPr>
                <w:rFonts w:ascii="仿宋" w:hAnsi="仿宋" w:eastAsia="仿宋" w:cs="仿宋"/>
                <w:kern w:val="0"/>
                <w:szCs w:val="21"/>
              </w:rPr>
            </w:pPr>
            <w:r>
              <w:rPr>
                <w:rFonts w:hint="eastAsia" w:ascii="仿宋" w:hAnsi="仿宋" w:eastAsia="仿宋" w:cs="仿宋"/>
                <w:kern w:val="0"/>
                <w:szCs w:val="21"/>
              </w:rPr>
              <w:t>1</w:t>
            </w:r>
          </w:p>
        </w:tc>
        <w:tc>
          <w:tcPr>
            <w:tcW w:w="1488" w:type="dxa"/>
            <w:vAlign w:val="center"/>
          </w:tcPr>
          <w:p>
            <w:pPr>
              <w:pStyle w:val="21"/>
              <w:spacing w:before="0" w:beforeAutospacing="0" w:after="0" w:afterAutospacing="0" w:line="400" w:lineRule="exact"/>
              <w:jc w:val="both"/>
              <w:rPr>
                <w:rFonts w:ascii="仿宋" w:hAnsi="仿宋" w:eastAsia="仿宋" w:cs="仿宋"/>
                <w:b/>
                <w:sz w:val="21"/>
                <w:szCs w:val="21"/>
              </w:rPr>
            </w:pPr>
            <w:r>
              <w:rPr>
                <w:rFonts w:hint="eastAsia" w:ascii="仿宋" w:hAnsi="仿宋" w:eastAsia="仿宋" w:cs="仿宋"/>
                <w:b/>
                <w:sz w:val="21"/>
                <w:szCs w:val="21"/>
              </w:rPr>
              <w:t>项目经验</w:t>
            </w:r>
          </w:p>
          <w:p>
            <w:pPr>
              <w:spacing w:line="400" w:lineRule="exact"/>
              <w:rPr>
                <w:rFonts w:ascii="仿宋" w:hAnsi="仿宋" w:eastAsia="仿宋" w:cs="仿宋"/>
                <w:szCs w:val="21"/>
              </w:rPr>
            </w:pPr>
            <w:r>
              <w:rPr>
                <w:rFonts w:hint="eastAsia" w:ascii="仿宋" w:hAnsi="仿宋" w:eastAsia="仿宋" w:cs="仿宋"/>
                <w:szCs w:val="21"/>
              </w:rPr>
              <w:t>（近三年同类或近似业绩</w:t>
            </w:r>
          </w:p>
        </w:tc>
        <w:tc>
          <w:tcPr>
            <w:tcW w:w="5770" w:type="dxa"/>
            <w:vAlign w:val="center"/>
          </w:tcPr>
          <w:p>
            <w:pPr>
              <w:spacing w:line="400" w:lineRule="exact"/>
              <w:rPr>
                <w:rFonts w:ascii="仿宋" w:hAnsi="仿宋" w:eastAsia="仿宋" w:cs="仿宋"/>
                <w:szCs w:val="21"/>
              </w:rPr>
            </w:pPr>
            <w:r>
              <w:rPr>
                <w:rFonts w:hint="eastAsia" w:ascii="仿宋" w:hAnsi="仿宋" w:eastAsia="仿宋" w:cs="仿宋"/>
                <w:szCs w:val="21"/>
              </w:rPr>
              <w:t>A（15-20分）：承接完成过医养事业单位</w:t>
            </w:r>
            <w:r>
              <w:rPr>
                <w:rFonts w:hint="eastAsia" w:ascii="仿宋" w:hAnsi="仿宋" w:eastAsia="仿宋" w:cs="仿宋"/>
                <w:color w:val="auto"/>
                <w:szCs w:val="21"/>
                <w:highlight w:val="none"/>
                <w:shd w:val="clear" w:color="auto" w:fill="auto"/>
              </w:rPr>
              <w:t>（含医院）</w:t>
            </w:r>
            <w:r>
              <w:rPr>
                <w:rFonts w:hint="eastAsia" w:ascii="仿宋" w:hAnsi="仿宋" w:eastAsia="仿宋" w:cs="仿宋"/>
                <w:szCs w:val="21"/>
              </w:rPr>
              <w:t>、综合性央企</w:t>
            </w:r>
            <w:r>
              <w:rPr>
                <w:rFonts w:hint="eastAsia" w:ascii="仿宋" w:hAnsi="仿宋" w:eastAsia="仿宋" w:cs="仿宋"/>
                <w:szCs w:val="21"/>
                <w:highlight w:val="none"/>
              </w:rPr>
              <w:t>（含康养类板块）</w:t>
            </w:r>
            <w:r>
              <w:rPr>
                <w:rFonts w:hint="eastAsia" w:ascii="仿宋" w:hAnsi="仿宋" w:eastAsia="仿宋" w:cs="仿宋"/>
                <w:szCs w:val="21"/>
              </w:rPr>
              <w:t>、省级国有企业集团康养类板块企业类似项目2个及以上。（2个15分，每增加1个前述项目或市值在10亿元人民币以上的康养相关民营公司项目加2.5分；此项得分最高20分）</w:t>
            </w:r>
          </w:p>
          <w:p>
            <w:pPr>
              <w:spacing w:line="400" w:lineRule="exact"/>
              <w:rPr>
                <w:rFonts w:ascii="仿宋" w:hAnsi="仿宋" w:eastAsia="仿宋" w:cs="仿宋"/>
                <w:szCs w:val="21"/>
              </w:rPr>
            </w:pPr>
            <w:r>
              <w:rPr>
                <w:rFonts w:hint="eastAsia" w:ascii="仿宋" w:hAnsi="仿宋" w:eastAsia="仿宋" w:cs="仿宋"/>
                <w:szCs w:val="21"/>
              </w:rPr>
              <w:t>B（9-14分）：承接完成市值在10亿元人民币以上的康养相关民营公司类似项目2个及以上。（2个9分，每增加1个前述项目加2.5分；此项得分最高14分）</w:t>
            </w:r>
          </w:p>
          <w:p>
            <w:pPr>
              <w:spacing w:line="400" w:lineRule="exact"/>
              <w:rPr>
                <w:rFonts w:ascii="仿宋" w:hAnsi="仿宋" w:eastAsia="仿宋" w:cs="仿宋"/>
                <w:szCs w:val="21"/>
              </w:rPr>
            </w:pPr>
            <w:r>
              <w:rPr>
                <w:rFonts w:hint="eastAsia" w:ascii="仿宋" w:hAnsi="仿宋" w:eastAsia="仿宋" w:cs="仿宋"/>
                <w:szCs w:val="21"/>
              </w:rPr>
              <w:t>C（0-8分）：承接完成康养相民营公司类似项目2个及以上。（2个4分，每增加1个加2分；此项得分最高8分）</w:t>
            </w:r>
          </w:p>
        </w:tc>
        <w:tc>
          <w:tcPr>
            <w:tcW w:w="1120" w:type="dxa"/>
            <w:vAlign w:val="center"/>
          </w:tcPr>
          <w:p>
            <w:pPr>
              <w:widowControl/>
              <w:spacing w:line="400" w:lineRule="exact"/>
              <w:ind w:firstLine="210" w:firstLineChars="100"/>
              <w:rPr>
                <w:rFonts w:ascii="仿宋" w:hAnsi="仿宋" w:eastAsia="仿宋" w:cs="仿宋"/>
                <w:kern w:val="0"/>
                <w:szCs w:val="21"/>
              </w:rPr>
            </w:pPr>
            <w:r>
              <w:rPr>
                <w:rFonts w:hint="eastAsia" w:ascii="仿宋" w:hAnsi="仿宋" w:eastAsia="仿宋" w:cs="仿宋"/>
                <w:kern w:val="0"/>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0" w:hRule="exact"/>
        </w:trPr>
        <w:tc>
          <w:tcPr>
            <w:tcW w:w="747" w:type="dxa"/>
            <w:vAlign w:val="center"/>
          </w:tcPr>
          <w:p>
            <w:pPr>
              <w:widowControl/>
              <w:spacing w:line="400" w:lineRule="exact"/>
              <w:rPr>
                <w:rFonts w:hint="eastAsia" w:ascii="仿宋" w:hAnsi="仿宋" w:eastAsia="仿宋" w:cs="仿宋"/>
                <w:kern w:val="2"/>
                <w:szCs w:val="21"/>
              </w:rPr>
            </w:pPr>
            <w:r>
              <w:rPr>
                <w:rFonts w:hint="eastAsia" w:ascii="仿宋" w:hAnsi="仿宋" w:eastAsia="仿宋" w:cs="仿宋"/>
                <w:kern w:val="2"/>
                <w:szCs w:val="21"/>
              </w:rPr>
              <w:t>2</w:t>
            </w:r>
          </w:p>
        </w:tc>
        <w:tc>
          <w:tcPr>
            <w:tcW w:w="1488" w:type="dxa"/>
            <w:vAlign w:val="center"/>
          </w:tcPr>
          <w:p>
            <w:pPr>
              <w:spacing w:line="400" w:lineRule="exact"/>
              <w:rPr>
                <w:rFonts w:hint="eastAsia" w:ascii="仿宋" w:hAnsi="仿宋" w:eastAsia="仿宋" w:cs="仿宋"/>
                <w:szCs w:val="21"/>
              </w:rPr>
            </w:pPr>
            <w:r>
              <w:rPr>
                <w:rFonts w:hint="eastAsia" w:ascii="仿宋" w:hAnsi="仿宋" w:eastAsia="仿宋" w:cs="仿宋"/>
                <w:b w:val="0"/>
                <w:szCs w:val="21"/>
              </w:rPr>
              <w:t>项目团队</w:t>
            </w:r>
          </w:p>
        </w:tc>
        <w:tc>
          <w:tcPr>
            <w:tcW w:w="5770" w:type="dxa"/>
            <w:vAlign w:val="center"/>
          </w:tcPr>
          <w:p>
            <w:pPr>
              <w:spacing w:line="400" w:lineRule="exact"/>
              <w:rPr>
                <w:rFonts w:hint="eastAsia" w:ascii="仿宋" w:hAnsi="仿宋" w:eastAsia="仿宋" w:cs="仿宋"/>
                <w:szCs w:val="21"/>
              </w:rPr>
            </w:pPr>
            <w:r>
              <w:rPr>
                <w:rFonts w:hint="eastAsia" w:ascii="仿宋" w:hAnsi="仿宋" w:eastAsia="仿宋" w:cs="仿宋"/>
                <w:szCs w:val="21"/>
              </w:rPr>
              <w:t>A（19-25分）：项目团队对国内康养相关行业具有深刻理解，项目团队专业能力突出，项目团队相关企业服务经验丰富，符合投标人资格条件。其中，项目团队6人（含）及以上，且现场驻场3人（含）及以上计19分，项目团队中项目负责人与项目经理参与过前述业绩证明合同每增加1名加2分，项目团队中参与过前述业绩证明合同的驻场人员加1分，项目团队中每增加1个执业资格类证书加2分，此项得分最高25分；</w:t>
            </w:r>
          </w:p>
          <w:p>
            <w:pPr>
              <w:spacing w:line="400" w:lineRule="exact"/>
              <w:rPr>
                <w:rFonts w:hint="eastAsia" w:ascii="仿宋" w:hAnsi="仿宋" w:eastAsia="仿宋" w:cs="仿宋"/>
                <w:szCs w:val="21"/>
              </w:rPr>
            </w:pPr>
            <w:r>
              <w:rPr>
                <w:rFonts w:hint="eastAsia" w:ascii="仿宋" w:hAnsi="仿宋" w:eastAsia="仿宋" w:cs="仿宋"/>
                <w:szCs w:val="21"/>
              </w:rPr>
              <w:t>B（11-18分）：项目团队对国内康养相关行业具有一定理解，项目团队专业能力较强，团队有一定企业服务经验，符合投标人资格条件。其中，项目团队4人（含）及以上，且现场驻场2人（含）及以上计11分，项目团队中项目负责人与项目经理参与过前述业绩证明合同每增加1名加2分，项目团队中参与过前述业绩证明合同的驻场人员加1分，项目团队中每增加1个执业资格类证书加2分，此项得分最高18分；</w:t>
            </w:r>
          </w:p>
          <w:p>
            <w:pPr>
              <w:spacing w:line="400" w:lineRule="exact"/>
              <w:rPr>
                <w:rFonts w:hint="eastAsia" w:ascii="仿宋" w:hAnsi="仿宋" w:eastAsia="仿宋" w:cs="仿宋"/>
                <w:szCs w:val="21"/>
              </w:rPr>
            </w:pPr>
            <w:r>
              <w:rPr>
                <w:rFonts w:hint="eastAsia" w:ascii="仿宋" w:hAnsi="仿宋" w:eastAsia="仿宋" w:cs="仿宋"/>
                <w:szCs w:val="21"/>
              </w:rPr>
              <w:t>C（0-10分）：项目团队对国内康养相关行业具有基础理解，项目团队具有一定专业能力，团队具有相关企业服务经验，符合投标人资格条件。其中，项目团队3人（含）或不足3人，且现场驻场2人以下计2分，项目团队中项目负责人与项目经理参与过前述业绩证明合同每增加1名加2分，项目团队中参与过前述业绩证明合同的驻场人员加1分，项目团队中每增加1个执业资格类证书加2分，此项得分最高10分；</w:t>
            </w:r>
          </w:p>
          <w:p>
            <w:pPr>
              <w:spacing w:line="400" w:lineRule="exact"/>
              <w:rPr>
                <w:rFonts w:hint="eastAsia" w:ascii="仿宋" w:hAnsi="仿宋" w:eastAsia="仿宋" w:cs="仿宋"/>
                <w:color w:val="FF0000"/>
                <w:szCs w:val="21"/>
              </w:rPr>
            </w:pPr>
            <w:r>
              <w:rPr>
                <w:rFonts w:hint="eastAsia" w:ascii="仿宋" w:hAnsi="仿宋" w:eastAsia="仿宋" w:cs="仿宋"/>
                <w:szCs w:val="21"/>
              </w:rPr>
              <w:t>项目团队不足3人，或现场驻场人员不足1人，计0分</w:t>
            </w:r>
          </w:p>
        </w:tc>
        <w:tc>
          <w:tcPr>
            <w:tcW w:w="1120" w:type="dxa"/>
            <w:vAlign w:val="center"/>
          </w:tcPr>
          <w:p>
            <w:pPr>
              <w:widowControl/>
              <w:spacing w:line="400" w:lineRule="exact"/>
              <w:ind w:firstLine="210" w:firstLineChars="100"/>
              <w:rPr>
                <w:rFonts w:ascii="仿宋" w:hAnsi="仿宋" w:eastAsia="仿宋" w:cs="仿宋"/>
                <w:szCs w:val="21"/>
              </w:rPr>
            </w:pPr>
            <w:r>
              <w:rPr>
                <w:rFonts w:hint="eastAsia" w:ascii="仿宋" w:hAnsi="仿宋" w:eastAsia="仿宋" w:cs="仿宋"/>
                <w:szCs w:val="21"/>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6" w:hRule="exact"/>
        </w:trPr>
        <w:tc>
          <w:tcPr>
            <w:tcW w:w="747" w:type="dxa"/>
            <w:vAlign w:val="center"/>
          </w:tcPr>
          <w:p>
            <w:pPr>
              <w:spacing w:line="400" w:lineRule="exact"/>
              <w:rPr>
                <w:rFonts w:ascii="仿宋" w:hAnsi="仿宋" w:eastAsia="仿宋" w:cs="仿宋"/>
                <w:szCs w:val="21"/>
              </w:rPr>
            </w:pPr>
            <w:r>
              <w:rPr>
                <w:rFonts w:hint="eastAsia" w:ascii="仿宋" w:hAnsi="仿宋" w:eastAsia="仿宋" w:cs="仿宋"/>
                <w:szCs w:val="21"/>
              </w:rPr>
              <w:t>3</w:t>
            </w:r>
          </w:p>
        </w:tc>
        <w:tc>
          <w:tcPr>
            <w:tcW w:w="1488" w:type="dxa"/>
            <w:vAlign w:val="center"/>
          </w:tcPr>
          <w:p>
            <w:pPr>
              <w:pStyle w:val="21"/>
              <w:spacing w:before="0" w:beforeAutospacing="0" w:after="0" w:afterAutospacing="0" w:line="400" w:lineRule="exact"/>
              <w:jc w:val="both"/>
              <w:rPr>
                <w:rFonts w:ascii="仿宋" w:hAnsi="仿宋" w:eastAsia="仿宋" w:cs="仿宋"/>
                <w:b/>
                <w:bCs/>
                <w:kern w:val="2"/>
                <w:sz w:val="21"/>
                <w:szCs w:val="21"/>
              </w:rPr>
            </w:pPr>
            <w:r>
              <w:rPr>
                <w:rFonts w:hint="eastAsia" w:ascii="仿宋" w:hAnsi="仿宋" w:eastAsia="仿宋" w:cs="仿宋"/>
                <w:b/>
                <w:bCs/>
                <w:kern w:val="2"/>
                <w:sz w:val="21"/>
                <w:szCs w:val="21"/>
              </w:rPr>
              <w:t>工作</w:t>
            </w:r>
            <w:r>
              <w:rPr>
                <w:rFonts w:ascii="仿宋" w:hAnsi="仿宋" w:eastAsia="仿宋" w:cs="仿宋"/>
                <w:b/>
                <w:bCs/>
                <w:kern w:val="2"/>
                <w:sz w:val="21"/>
                <w:szCs w:val="21"/>
              </w:rPr>
              <w:t>方案</w:t>
            </w:r>
          </w:p>
          <w:p>
            <w:pPr>
              <w:spacing w:line="400" w:lineRule="exact"/>
              <w:rPr>
                <w:rFonts w:ascii="仿宋" w:hAnsi="仿宋" w:eastAsia="仿宋" w:cs="仿宋"/>
                <w:szCs w:val="21"/>
              </w:rPr>
            </w:pPr>
            <w:r>
              <w:rPr>
                <w:rFonts w:hint="eastAsia" w:ascii="仿宋" w:hAnsi="仿宋" w:eastAsia="仿宋" w:cs="仿宋"/>
                <w:szCs w:val="21"/>
              </w:rPr>
              <w:t>（实施方案、项目成果、进度安排及服务承诺）</w:t>
            </w:r>
          </w:p>
        </w:tc>
        <w:tc>
          <w:tcPr>
            <w:tcW w:w="5770" w:type="dxa"/>
            <w:vAlign w:val="center"/>
          </w:tcPr>
          <w:p>
            <w:pPr>
              <w:spacing w:line="400" w:lineRule="exact"/>
              <w:rPr>
                <w:rFonts w:ascii="仿宋" w:hAnsi="仿宋" w:eastAsia="仿宋" w:cs="仿宋"/>
                <w:szCs w:val="21"/>
              </w:rPr>
            </w:pPr>
            <w:r>
              <w:rPr>
                <w:rFonts w:hint="eastAsia" w:ascii="仿宋" w:hAnsi="仿宋" w:eastAsia="仿宋" w:cs="仿宋"/>
                <w:szCs w:val="21"/>
              </w:rPr>
              <w:t>A（15-20分）：对项目需求理解充分，具备完善的、针对性的服务方案和工作计划，观点和思路有启发性和操作性，具有良好的效果（6-7分）；预计递交咨询成果较多且操作性强（4-6分）；项目时间及进度安排合理，符合公司实际需要（3-4分）；服务承诺较好（2-3分）。</w:t>
            </w:r>
          </w:p>
          <w:p>
            <w:pPr>
              <w:spacing w:line="400" w:lineRule="exact"/>
              <w:rPr>
                <w:rFonts w:ascii="仿宋" w:hAnsi="仿宋" w:eastAsia="仿宋" w:cs="仿宋"/>
                <w:szCs w:val="21"/>
              </w:rPr>
            </w:pPr>
            <w:r>
              <w:rPr>
                <w:rFonts w:hint="eastAsia" w:ascii="仿宋" w:hAnsi="仿宋" w:eastAsia="仿宋" w:cs="仿宋"/>
                <w:szCs w:val="21"/>
              </w:rPr>
              <w:t>B（9-14分）：对项目需求理解较充分，具备较完整的服务方案和工作计划，但缺乏针对性，观点和思路有一定的启发性和操作性，效果一般（4-6分）；预计递交咨询成果较多且有一定的操作性（3-4分）；项目时间及进度安排合理，基本符合公司实际需要（2-3分）；服务承诺一般（0-1分）。</w:t>
            </w:r>
          </w:p>
          <w:p>
            <w:pPr>
              <w:spacing w:line="400" w:lineRule="exact"/>
              <w:rPr>
                <w:rFonts w:ascii="仿宋" w:hAnsi="仿宋" w:eastAsia="仿宋" w:cs="仿宋"/>
                <w:szCs w:val="21"/>
              </w:rPr>
            </w:pPr>
            <w:r>
              <w:rPr>
                <w:rFonts w:hint="eastAsia" w:ascii="仿宋" w:hAnsi="仿宋" w:eastAsia="仿宋" w:cs="仿宋"/>
                <w:szCs w:val="21"/>
              </w:rPr>
              <w:t>C（0-8分）：对项目需求理解不充分，缺乏完整的服务方案和工作计划，部分未满足技术要求和使用需求（0-3分）；预计递交咨询成果较少（0-2分）；项目时间及进度安排不合理，不符合公司实际需要（0-2分）；服务承诺差（0-1分）。</w:t>
            </w:r>
          </w:p>
        </w:tc>
        <w:tc>
          <w:tcPr>
            <w:tcW w:w="1120" w:type="dxa"/>
            <w:vAlign w:val="center"/>
          </w:tcPr>
          <w:p>
            <w:pPr>
              <w:widowControl/>
              <w:spacing w:line="400" w:lineRule="exact"/>
              <w:ind w:firstLine="210" w:firstLineChars="100"/>
              <w:rPr>
                <w:rFonts w:ascii="仿宋" w:hAnsi="仿宋" w:eastAsia="仿宋" w:cs="仿宋"/>
                <w:kern w:val="0"/>
                <w:szCs w:val="21"/>
              </w:rPr>
            </w:pPr>
            <w:r>
              <w:rPr>
                <w:rFonts w:hint="eastAsia" w:ascii="仿宋" w:hAnsi="仿宋" w:eastAsia="仿宋" w:cs="仿宋"/>
                <w:kern w:val="0"/>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01" w:hRule="exact"/>
        </w:trPr>
        <w:tc>
          <w:tcPr>
            <w:tcW w:w="747" w:type="dxa"/>
            <w:vAlign w:val="center"/>
          </w:tcPr>
          <w:p>
            <w:pPr>
              <w:spacing w:line="400" w:lineRule="exact"/>
              <w:rPr>
                <w:rFonts w:ascii="仿宋" w:hAnsi="仿宋" w:eastAsia="仿宋" w:cs="仿宋"/>
                <w:szCs w:val="21"/>
              </w:rPr>
            </w:pPr>
            <w:r>
              <w:rPr>
                <w:rFonts w:hint="eastAsia" w:ascii="仿宋" w:hAnsi="仿宋" w:eastAsia="仿宋" w:cs="仿宋"/>
                <w:szCs w:val="21"/>
              </w:rPr>
              <w:t>4</w:t>
            </w:r>
          </w:p>
        </w:tc>
        <w:tc>
          <w:tcPr>
            <w:tcW w:w="1488" w:type="dxa"/>
            <w:vAlign w:val="center"/>
          </w:tcPr>
          <w:p>
            <w:pPr>
              <w:spacing w:line="400" w:lineRule="exact"/>
              <w:rPr>
                <w:rFonts w:ascii="仿宋" w:hAnsi="仿宋" w:eastAsia="仿宋" w:cs="仿宋"/>
                <w:szCs w:val="21"/>
              </w:rPr>
            </w:pPr>
            <w:r>
              <w:rPr>
                <w:rFonts w:hint="eastAsia" w:ascii="仿宋" w:hAnsi="仿宋" w:eastAsia="仿宋" w:cs="仿宋"/>
                <w:b/>
                <w:bCs/>
                <w:szCs w:val="21"/>
              </w:rPr>
              <w:t>投标报价</w:t>
            </w:r>
          </w:p>
        </w:tc>
        <w:tc>
          <w:tcPr>
            <w:tcW w:w="5770" w:type="dxa"/>
            <w:vAlign w:val="center"/>
          </w:tcPr>
          <w:p>
            <w:pPr>
              <w:spacing w:line="400" w:lineRule="exact"/>
              <w:rPr>
                <w:rFonts w:ascii="仿宋" w:hAnsi="仿宋" w:eastAsia="仿宋" w:cs="仿宋"/>
                <w:szCs w:val="21"/>
              </w:rPr>
            </w:pPr>
            <w:r>
              <w:rPr>
                <w:rFonts w:hint="eastAsia" w:ascii="仿宋" w:hAnsi="仿宋" w:eastAsia="仿宋" w:cs="仿宋"/>
                <w:szCs w:val="21"/>
              </w:rPr>
              <w:t>一、评标基准价计算方法</w:t>
            </w:r>
          </w:p>
          <w:p>
            <w:pPr>
              <w:spacing w:line="400" w:lineRule="exact"/>
              <w:rPr>
                <w:rFonts w:ascii="仿宋" w:hAnsi="仿宋" w:eastAsia="仿宋" w:cs="仿宋"/>
                <w:szCs w:val="21"/>
              </w:rPr>
            </w:pPr>
            <w:r>
              <w:rPr>
                <w:rFonts w:hint="eastAsia" w:ascii="仿宋" w:hAnsi="仿宋" w:eastAsia="仿宋" w:cs="仿宋"/>
                <w:szCs w:val="21"/>
              </w:rPr>
              <w:t>1、评标基准价计算方法为：</w:t>
            </w:r>
          </w:p>
          <w:p>
            <w:pPr>
              <w:spacing w:line="400" w:lineRule="exact"/>
              <w:rPr>
                <w:rFonts w:ascii="仿宋" w:hAnsi="仿宋" w:eastAsia="仿宋" w:cs="仿宋"/>
                <w:szCs w:val="21"/>
              </w:rPr>
            </w:pPr>
            <w:r>
              <w:rPr>
                <w:rFonts w:hint="eastAsia" w:ascii="仿宋" w:hAnsi="仿宋" w:eastAsia="仿宋" w:cs="仿宋"/>
                <w:szCs w:val="21"/>
              </w:rPr>
              <w:t>（1）当通过初步评审的投标人为4家及4家以上时，其计算方法为：</w:t>
            </w:r>
          </w:p>
          <w:p>
            <w:pPr>
              <w:spacing w:line="400" w:lineRule="exact"/>
              <w:rPr>
                <w:rFonts w:ascii="仿宋" w:hAnsi="仿宋" w:eastAsia="仿宋" w:cs="仿宋"/>
                <w:szCs w:val="21"/>
              </w:rPr>
            </w:pPr>
            <w:r>
              <w:rPr>
                <w:rFonts w:hint="eastAsia" w:ascii="仿宋" w:hAnsi="仿宋" w:eastAsia="仿宋" w:cs="仿宋"/>
                <w:szCs w:val="21"/>
              </w:rPr>
              <w:t>评标基准价=（所有有效投标人评标价之和-最高评标价-最低评标价）/（有效投标单位数-2）</w:t>
            </w:r>
          </w:p>
          <w:p>
            <w:pPr>
              <w:spacing w:line="400" w:lineRule="exact"/>
              <w:rPr>
                <w:rFonts w:ascii="仿宋" w:hAnsi="仿宋" w:eastAsia="仿宋" w:cs="仿宋"/>
                <w:szCs w:val="21"/>
              </w:rPr>
            </w:pPr>
            <w:r>
              <w:rPr>
                <w:rFonts w:hint="eastAsia" w:ascii="仿宋" w:hAnsi="仿宋" w:eastAsia="仿宋" w:cs="仿宋"/>
                <w:szCs w:val="21"/>
              </w:rPr>
              <w:t>（2）当通过初步评审的投标人为4家以下时，其计算方法为：</w:t>
            </w:r>
          </w:p>
          <w:p>
            <w:pPr>
              <w:spacing w:line="400" w:lineRule="exact"/>
              <w:rPr>
                <w:rFonts w:ascii="仿宋" w:hAnsi="仿宋" w:eastAsia="仿宋" w:cs="仿宋"/>
                <w:szCs w:val="21"/>
              </w:rPr>
            </w:pPr>
            <w:r>
              <w:rPr>
                <w:rFonts w:hint="eastAsia" w:ascii="仿宋" w:hAnsi="仿宋" w:eastAsia="仿宋" w:cs="仿宋"/>
                <w:szCs w:val="21"/>
              </w:rPr>
              <w:t>评标基准价=通过初步评审投标人评标价的算术平均值</w:t>
            </w:r>
          </w:p>
          <w:p>
            <w:pPr>
              <w:spacing w:line="400" w:lineRule="exact"/>
              <w:rPr>
                <w:rFonts w:ascii="仿宋" w:hAnsi="仿宋" w:eastAsia="仿宋" w:cs="仿宋"/>
                <w:szCs w:val="21"/>
              </w:rPr>
            </w:pPr>
            <w:r>
              <w:rPr>
                <w:rFonts w:hint="eastAsia" w:ascii="仿宋" w:hAnsi="仿宋" w:eastAsia="仿宋" w:cs="仿宋"/>
                <w:szCs w:val="21"/>
              </w:rPr>
              <w:t>二、投标人评标价格的偏差率δ</w:t>
            </w:r>
          </w:p>
          <w:p>
            <w:pPr>
              <w:spacing w:line="400" w:lineRule="exact"/>
              <w:rPr>
                <w:rFonts w:ascii="仿宋" w:hAnsi="仿宋" w:eastAsia="仿宋" w:cs="仿宋"/>
                <w:szCs w:val="21"/>
              </w:rPr>
            </w:pPr>
            <w:r>
              <w:rPr>
                <w:rFonts w:hint="eastAsia" w:ascii="仿宋" w:hAnsi="仿宋" w:eastAsia="仿宋" w:cs="仿宋"/>
                <w:szCs w:val="21"/>
              </w:rPr>
              <w:t>δ=（投标人评标价格-评标基准价）/评标基准价×100%。注：百分号前保留两位小数。</w:t>
            </w:r>
          </w:p>
          <w:p>
            <w:pPr>
              <w:spacing w:line="400" w:lineRule="exact"/>
              <w:rPr>
                <w:rFonts w:ascii="仿宋" w:hAnsi="仿宋" w:eastAsia="仿宋" w:cs="仿宋"/>
                <w:szCs w:val="21"/>
              </w:rPr>
            </w:pPr>
            <w:r>
              <w:rPr>
                <w:rFonts w:hint="eastAsia" w:ascii="仿宋" w:hAnsi="仿宋" w:eastAsia="仿宋" w:cs="仿宋"/>
                <w:szCs w:val="21"/>
              </w:rPr>
              <w:t>三、投标报价得分</w:t>
            </w:r>
          </w:p>
          <w:p>
            <w:pPr>
              <w:spacing w:line="400" w:lineRule="exact"/>
              <w:rPr>
                <w:rFonts w:ascii="仿宋" w:hAnsi="仿宋" w:eastAsia="仿宋" w:cs="仿宋"/>
                <w:szCs w:val="21"/>
              </w:rPr>
            </w:pPr>
            <w:r>
              <w:rPr>
                <w:rFonts w:hint="eastAsia" w:ascii="仿宋" w:hAnsi="仿宋" w:eastAsia="仿宋" w:cs="仿宋"/>
                <w:szCs w:val="21"/>
              </w:rPr>
              <w:t>当δ=0时，得35分；</w:t>
            </w:r>
          </w:p>
          <w:p>
            <w:pPr>
              <w:spacing w:line="400" w:lineRule="exact"/>
              <w:rPr>
                <w:rFonts w:ascii="仿宋" w:hAnsi="仿宋" w:eastAsia="仿宋" w:cs="仿宋"/>
                <w:szCs w:val="21"/>
              </w:rPr>
            </w:pPr>
            <w:r>
              <w:rPr>
                <w:rFonts w:hint="eastAsia" w:ascii="仿宋" w:hAnsi="仿宋" w:eastAsia="仿宋" w:cs="仿宋"/>
                <w:szCs w:val="21"/>
              </w:rPr>
              <w:t>当δ＞0时，则投标报价得分在35的基础上，δ每增加1个百分点，扣减0.1分，最低扣至0分为止；</w:t>
            </w:r>
          </w:p>
          <w:p>
            <w:pPr>
              <w:spacing w:line="400" w:lineRule="exact"/>
              <w:rPr>
                <w:rFonts w:ascii="仿宋" w:hAnsi="仿宋" w:eastAsia="仿宋" w:cs="仿宋"/>
                <w:szCs w:val="21"/>
              </w:rPr>
            </w:pPr>
            <w:r>
              <w:rPr>
                <w:rFonts w:hint="eastAsia" w:ascii="仿宋" w:hAnsi="仿宋" w:eastAsia="仿宋" w:cs="仿宋"/>
                <w:szCs w:val="21"/>
              </w:rPr>
              <w:t xml:space="preserve">当δ＜0时，则投标报价得分在35分的基础上，δ每减少1个百分点，扣减0.1分，最低扣至0分为止。  </w:t>
            </w:r>
          </w:p>
        </w:tc>
        <w:tc>
          <w:tcPr>
            <w:tcW w:w="1120" w:type="dxa"/>
            <w:vAlign w:val="center"/>
          </w:tcPr>
          <w:p>
            <w:pPr>
              <w:widowControl/>
              <w:spacing w:line="400" w:lineRule="exact"/>
              <w:rPr>
                <w:rFonts w:ascii="仿宋" w:hAnsi="仿宋" w:eastAsia="仿宋" w:cs="仿宋"/>
                <w:kern w:val="0"/>
                <w:szCs w:val="21"/>
              </w:rPr>
            </w:pPr>
            <w:r>
              <w:rPr>
                <w:rFonts w:hint="eastAsia" w:ascii="仿宋" w:hAnsi="仿宋" w:eastAsia="仿宋" w:cs="仿宋"/>
                <w:kern w:val="0"/>
                <w:szCs w:val="21"/>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exact"/>
        </w:trPr>
        <w:tc>
          <w:tcPr>
            <w:tcW w:w="8005" w:type="dxa"/>
            <w:gridSpan w:val="3"/>
            <w:vAlign w:val="center"/>
          </w:tcPr>
          <w:p>
            <w:pPr>
              <w:spacing w:line="400" w:lineRule="exact"/>
              <w:rPr>
                <w:rFonts w:ascii="仿宋" w:hAnsi="仿宋" w:eastAsia="仿宋" w:cs="仿宋"/>
                <w:szCs w:val="21"/>
              </w:rPr>
            </w:pPr>
            <w:r>
              <w:rPr>
                <w:rFonts w:hint="eastAsia" w:ascii="仿宋" w:hAnsi="仿宋" w:eastAsia="仿宋" w:cs="仿宋"/>
                <w:szCs w:val="21"/>
              </w:rPr>
              <w:t>合计</w:t>
            </w:r>
          </w:p>
        </w:tc>
        <w:tc>
          <w:tcPr>
            <w:tcW w:w="1120" w:type="dxa"/>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100</w:t>
            </w:r>
          </w:p>
        </w:tc>
      </w:tr>
    </w:tbl>
    <w:p>
      <w:pPr>
        <w:spacing w:line="600" w:lineRule="exact"/>
        <w:rPr>
          <w:rFonts w:ascii="宋体" w:hAnsi="宋体" w:cs="宋体"/>
          <w:szCs w:val="21"/>
        </w:rPr>
      </w:pPr>
    </w:p>
    <w:p>
      <w:pPr>
        <w:spacing w:line="600" w:lineRule="exact"/>
        <w:rPr>
          <w:rFonts w:eastAsia="仿宋_GB2312"/>
          <w:b/>
          <w:bCs/>
          <w:szCs w:val="21"/>
        </w:rPr>
      </w:pPr>
      <w:r>
        <w:rPr>
          <w:rFonts w:eastAsia="仿宋_GB2312"/>
          <w:b/>
          <w:bCs/>
          <w:szCs w:val="21"/>
        </w:rPr>
        <w:t>注</w:t>
      </w:r>
      <w:r>
        <w:rPr>
          <w:rFonts w:hint="eastAsia" w:eastAsia="仿宋_GB2312"/>
          <w:b/>
          <w:bCs/>
          <w:szCs w:val="21"/>
        </w:rPr>
        <w:t>：1.以上评审项目内容需提供合同、业绩证明及其他证明材料;</w:t>
      </w:r>
    </w:p>
    <w:p>
      <w:pPr>
        <w:spacing w:line="600" w:lineRule="exact"/>
        <w:ind w:firstLine="424" w:firstLineChars="201"/>
        <w:rPr>
          <w:rFonts w:eastAsia="仿宋_GB2312"/>
          <w:szCs w:val="21"/>
        </w:rPr>
      </w:pPr>
      <w:r>
        <w:rPr>
          <w:rFonts w:hint="eastAsia" w:eastAsia="仿宋_GB2312"/>
          <w:b/>
          <w:bCs/>
          <w:szCs w:val="21"/>
        </w:rPr>
        <w:t>2.若投标人得分相同，优先从投标报价和项目团队方面进行选择。</w:t>
      </w:r>
    </w:p>
    <w:p>
      <w:pPr>
        <w:pStyle w:val="4"/>
        <w:spacing w:line="600" w:lineRule="exact"/>
        <w:ind w:firstLine="560"/>
        <w:rPr>
          <w:sz w:val="28"/>
          <w:szCs w:val="28"/>
        </w:rPr>
      </w:pPr>
    </w:p>
    <w:p>
      <w:pPr>
        <w:pStyle w:val="4"/>
        <w:spacing w:line="600" w:lineRule="exact"/>
        <w:ind w:firstLine="560"/>
        <w:rPr>
          <w:sz w:val="28"/>
          <w:szCs w:val="28"/>
        </w:rPr>
      </w:pPr>
    </w:p>
    <w:p>
      <w:pPr>
        <w:pStyle w:val="4"/>
        <w:spacing w:line="600" w:lineRule="exact"/>
        <w:ind w:firstLine="560"/>
        <w:rPr>
          <w:sz w:val="28"/>
          <w:szCs w:val="28"/>
        </w:rPr>
      </w:pPr>
    </w:p>
    <w:p>
      <w:pPr>
        <w:pStyle w:val="4"/>
        <w:spacing w:line="600" w:lineRule="exact"/>
        <w:ind w:firstLine="0" w:firstLineChars="0"/>
      </w:pPr>
    </w:p>
    <w:p>
      <w:pPr>
        <w:rPr>
          <w:b/>
          <w:sz w:val="28"/>
          <w:szCs w:val="28"/>
        </w:rPr>
      </w:pPr>
      <w:r>
        <w:rPr>
          <w:rFonts w:hint="eastAsia"/>
          <w:b/>
          <w:sz w:val="28"/>
          <w:szCs w:val="28"/>
        </w:rPr>
        <w:br w:type="page"/>
      </w:r>
    </w:p>
    <w:p>
      <w:pPr>
        <w:tabs>
          <w:tab w:val="left" w:pos="1260"/>
          <w:tab w:val="left" w:pos="1980"/>
        </w:tabs>
        <w:spacing w:line="600" w:lineRule="exact"/>
        <w:rPr>
          <w:b/>
          <w:sz w:val="28"/>
          <w:szCs w:val="28"/>
        </w:rPr>
      </w:pPr>
      <w:r>
        <w:rPr>
          <w:rFonts w:hint="eastAsia"/>
          <w:b/>
          <w:sz w:val="28"/>
          <w:szCs w:val="28"/>
        </w:rPr>
        <w:t>附件七：</w:t>
      </w:r>
    </w:p>
    <w:p>
      <w:pPr>
        <w:spacing w:line="600" w:lineRule="exact"/>
        <w:jc w:val="center"/>
        <w:rPr>
          <w:rFonts w:ascii="楷体_GB2312" w:hAnsi="宋体" w:eastAsia="楷体_GB2312"/>
          <w:b/>
          <w:bCs/>
          <w:sz w:val="44"/>
          <w:szCs w:val="44"/>
        </w:rPr>
      </w:pPr>
    </w:p>
    <w:p>
      <w:pPr>
        <w:spacing w:line="600" w:lineRule="exact"/>
        <w:jc w:val="center"/>
        <w:rPr>
          <w:rFonts w:ascii="楷体_GB2312" w:hAnsi="宋体" w:eastAsia="楷体_GB2312"/>
          <w:b/>
          <w:bCs/>
          <w:sz w:val="44"/>
          <w:szCs w:val="44"/>
        </w:rPr>
      </w:pPr>
    </w:p>
    <w:p>
      <w:pPr>
        <w:spacing w:line="600" w:lineRule="exact"/>
        <w:jc w:val="center"/>
        <w:rPr>
          <w:rFonts w:ascii="楷体_GB2312" w:hAnsi="宋体" w:eastAsia="楷体_GB2312"/>
          <w:b/>
          <w:bCs/>
          <w:sz w:val="44"/>
          <w:szCs w:val="44"/>
        </w:rPr>
      </w:pPr>
      <w:r>
        <w:rPr>
          <w:rFonts w:hint="eastAsia" w:ascii="楷体_GB2312" w:hAnsi="宋体" w:eastAsia="楷体_GB2312"/>
          <w:b/>
          <w:bCs/>
          <w:sz w:val="44"/>
          <w:szCs w:val="44"/>
        </w:rPr>
        <w:t>管理咨询项目服务</w:t>
      </w:r>
    </w:p>
    <w:p>
      <w:pPr>
        <w:spacing w:line="600" w:lineRule="exact"/>
        <w:jc w:val="center"/>
        <w:rPr>
          <w:rFonts w:ascii="楷体_GB2312" w:hAnsi="宋体" w:eastAsia="楷体_GB2312"/>
          <w:b/>
          <w:bCs/>
          <w:sz w:val="36"/>
        </w:rPr>
      </w:pPr>
      <w:r>
        <w:rPr>
          <w:rFonts w:hint="eastAsia" w:ascii="楷体_GB2312" w:hAnsi="宋体" w:eastAsia="楷体_GB2312"/>
          <w:b/>
          <w:bCs/>
          <w:sz w:val="44"/>
          <w:szCs w:val="44"/>
        </w:rPr>
        <w:t>合同书</w:t>
      </w:r>
    </w:p>
    <w:p>
      <w:pPr>
        <w:spacing w:line="600" w:lineRule="exact"/>
        <w:rPr>
          <w:rFonts w:ascii="楷体_GB2312" w:hAnsi="宋体" w:eastAsia="楷体_GB2312"/>
          <w:sz w:val="32"/>
        </w:rPr>
      </w:pPr>
      <w:r>
        <w:rPr>
          <w:rFonts w:ascii="楷体_GB2312" w:hAnsi="宋体" w:eastAsia="楷体_GB2312"/>
          <w:sz w:val="32"/>
        </w:rPr>
        <w:t xml:space="preserve">       </w:t>
      </w:r>
    </w:p>
    <w:p>
      <w:pPr>
        <w:spacing w:line="600" w:lineRule="exact"/>
        <w:rPr>
          <w:rFonts w:ascii="楷体_GB2312" w:hAnsi="宋体" w:eastAsia="楷体_GB2312"/>
          <w:sz w:val="32"/>
        </w:rPr>
      </w:pPr>
    </w:p>
    <w:p>
      <w:pPr>
        <w:spacing w:before="312" w:beforeLines="100" w:after="312" w:afterLines="100" w:line="600" w:lineRule="exact"/>
        <w:ind w:firstLine="973" w:firstLineChars="346"/>
        <w:rPr>
          <w:rFonts w:ascii="Arial" w:hAnsi="Arial" w:eastAsia="华文仿宋" w:cs="Arial"/>
          <w:b/>
          <w:color w:val="000000"/>
          <w:sz w:val="32"/>
          <w:szCs w:val="32"/>
        </w:rPr>
      </w:pPr>
      <w:r>
        <w:rPr>
          <w:rFonts w:hint="eastAsia" w:ascii="楷体_GB2312" w:hAnsi="宋体" w:eastAsia="楷体_GB2312"/>
          <w:b/>
          <w:bCs/>
          <w:sz w:val="28"/>
          <w:szCs w:val="28"/>
        </w:rPr>
        <w:t>项目名称：“十四五”发展战略规划中期调整咨询项目</w:t>
      </w:r>
    </w:p>
    <w:p>
      <w:pPr>
        <w:spacing w:before="312" w:beforeLines="100" w:after="312" w:afterLines="100" w:line="600" w:lineRule="exact"/>
        <w:ind w:firstLine="973" w:firstLineChars="346"/>
        <w:rPr>
          <w:rFonts w:ascii="楷体_GB2312" w:hAnsi="宋体" w:eastAsia="楷体_GB2312"/>
          <w:b/>
          <w:bCs/>
          <w:sz w:val="28"/>
          <w:szCs w:val="28"/>
        </w:rPr>
      </w:pPr>
      <w:r>
        <w:rPr>
          <w:rFonts w:hint="eastAsia" w:ascii="楷体_GB2312" w:hAnsi="宋体" w:eastAsia="楷体_GB2312"/>
          <w:b/>
          <w:bCs/>
          <w:sz w:val="28"/>
          <w:szCs w:val="28"/>
        </w:rPr>
        <w:t>合同单位：</w:t>
      </w:r>
    </w:p>
    <w:p>
      <w:pPr>
        <w:spacing w:line="600" w:lineRule="exact"/>
        <w:rPr>
          <w:rFonts w:ascii="楷体_GB2312" w:hAnsi="宋体" w:eastAsia="楷体_GB2312"/>
          <w:sz w:val="28"/>
          <w:szCs w:val="28"/>
        </w:rPr>
      </w:pPr>
      <w:r>
        <w:rPr>
          <w:rFonts w:ascii="楷体_GB2312" w:hAnsi="宋体" w:eastAsia="楷体_GB2312"/>
          <w:sz w:val="28"/>
          <w:szCs w:val="28"/>
        </w:rPr>
        <w:t xml:space="preserve"> </w:t>
      </w:r>
      <w:r>
        <w:rPr>
          <w:rFonts w:ascii="楷体_GB2312" w:hAnsi="宋体" w:eastAsia="楷体_GB2312"/>
          <w:sz w:val="28"/>
          <w:szCs w:val="28"/>
        </w:rPr>
        <w:tab/>
      </w:r>
      <w:r>
        <w:rPr>
          <w:rFonts w:ascii="楷体_GB2312" w:hAnsi="宋体" w:eastAsia="楷体_GB2312"/>
          <w:sz w:val="28"/>
          <w:szCs w:val="28"/>
        </w:rPr>
        <w:tab/>
      </w:r>
      <w:r>
        <w:rPr>
          <w:rFonts w:ascii="楷体_GB2312" w:hAnsi="宋体" w:eastAsia="楷体_GB2312"/>
          <w:sz w:val="28"/>
          <w:szCs w:val="28"/>
        </w:rPr>
        <w:tab/>
      </w:r>
      <w:r>
        <w:rPr>
          <w:rFonts w:ascii="楷体_GB2312" w:hAnsi="宋体" w:eastAsia="楷体_GB2312"/>
          <w:sz w:val="28"/>
          <w:szCs w:val="28"/>
        </w:rPr>
        <w:tab/>
      </w:r>
      <w:r>
        <w:rPr>
          <w:rFonts w:ascii="楷体_GB2312" w:hAnsi="宋体" w:eastAsia="楷体_GB2312"/>
          <w:sz w:val="28"/>
          <w:szCs w:val="28"/>
        </w:rPr>
        <w:t xml:space="preserve"> </w:t>
      </w:r>
      <w:r>
        <w:rPr>
          <w:rFonts w:hint="eastAsia" w:ascii="楷体_GB2312" w:hAnsi="宋体" w:eastAsia="楷体_GB2312"/>
          <w:sz w:val="28"/>
          <w:szCs w:val="28"/>
        </w:rPr>
        <w:t xml:space="preserve"> 甲方：湖南康乃馨养老产业投资置业有限公司</w:t>
      </w:r>
    </w:p>
    <w:p>
      <w:pPr>
        <w:spacing w:line="600" w:lineRule="exact"/>
        <w:ind w:firstLine="1960" w:firstLineChars="700"/>
        <w:rPr>
          <w:rStyle w:val="17"/>
          <w:rFonts w:ascii="楷体_GB2312" w:eastAsia="楷体_GB2312"/>
          <w:b w:val="0"/>
          <w:bCs/>
          <w:sz w:val="28"/>
          <w:szCs w:val="28"/>
        </w:rPr>
      </w:pPr>
      <w:r>
        <w:rPr>
          <w:rFonts w:hint="eastAsia" w:ascii="楷体_GB2312" w:hAnsi="宋体" w:eastAsia="楷体_GB2312"/>
          <w:sz w:val="28"/>
          <w:szCs w:val="28"/>
        </w:rPr>
        <w:t>乙方：</w:t>
      </w:r>
    </w:p>
    <w:p>
      <w:pPr>
        <w:spacing w:line="600" w:lineRule="exact"/>
        <w:jc w:val="center"/>
        <w:rPr>
          <w:rFonts w:ascii="楷体_GB2312" w:hAnsi="宋体" w:eastAsia="楷体_GB2312"/>
          <w:sz w:val="28"/>
          <w:szCs w:val="28"/>
        </w:rPr>
      </w:pPr>
    </w:p>
    <w:p>
      <w:pPr>
        <w:spacing w:line="600" w:lineRule="exact"/>
        <w:jc w:val="center"/>
        <w:rPr>
          <w:rFonts w:ascii="楷体_GB2312" w:hAnsi="宋体" w:eastAsia="楷体_GB2312"/>
          <w:sz w:val="28"/>
          <w:szCs w:val="28"/>
        </w:rPr>
      </w:pPr>
    </w:p>
    <w:p>
      <w:pPr>
        <w:spacing w:line="600" w:lineRule="exact"/>
        <w:jc w:val="center"/>
        <w:rPr>
          <w:rFonts w:ascii="楷体_GB2312" w:hAnsi="宋体" w:eastAsia="楷体_GB2312"/>
          <w:sz w:val="28"/>
          <w:szCs w:val="28"/>
        </w:rPr>
      </w:pPr>
    </w:p>
    <w:p>
      <w:pPr>
        <w:spacing w:line="600" w:lineRule="exact"/>
        <w:jc w:val="center"/>
        <w:rPr>
          <w:rFonts w:ascii="楷体_GB2312" w:hAnsi="宋体" w:eastAsia="楷体_GB2312"/>
          <w:sz w:val="28"/>
          <w:szCs w:val="28"/>
        </w:rPr>
      </w:pPr>
    </w:p>
    <w:p>
      <w:pPr>
        <w:spacing w:line="600" w:lineRule="exact"/>
        <w:ind w:firstLine="1120" w:firstLineChars="400"/>
        <w:rPr>
          <w:rFonts w:ascii="楷体_GB2312" w:hAnsi="宋体" w:eastAsia="楷体_GB2312"/>
          <w:sz w:val="28"/>
          <w:szCs w:val="28"/>
        </w:rPr>
      </w:pPr>
    </w:p>
    <w:p>
      <w:pPr>
        <w:spacing w:line="600" w:lineRule="exact"/>
        <w:ind w:firstLine="1120" w:firstLineChars="400"/>
        <w:rPr>
          <w:rFonts w:ascii="楷体_GB2312" w:hAnsi="宋体" w:eastAsia="楷体_GB2312"/>
          <w:sz w:val="28"/>
          <w:szCs w:val="28"/>
          <w:shd w:val="pct10" w:color="auto" w:fill="FFFFFF"/>
        </w:rPr>
      </w:pPr>
      <w:r>
        <w:rPr>
          <w:rFonts w:hint="eastAsia" w:ascii="楷体_GB2312" w:hAnsi="宋体" w:eastAsia="楷体_GB2312"/>
          <w:sz w:val="28"/>
          <w:szCs w:val="28"/>
        </w:rPr>
        <w:t xml:space="preserve">签订时间：  年 </w:t>
      </w:r>
      <w:r>
        <w:rPr>
          <w:rFonts w:ascii="楷体_GB2312" w:hAnsi="宋体" w:eastAsia="楷体_GB2312"/>
          <w:sz w:val="28"/>
          <w:szCs w:val="28"/>
        </w:rPr>
        <w:t xml:space="preserve"> </w:t>
      </w:r>
      <w:r>
        <w:rPr>
          <w:rFonts w:hint="eastAsia" w:ascii="楷体_GB2312" w:hAnsi="宋体" w:eastAsia="楷体_GB2312"/>
          <w:sz w:val="28"/>
          <w:szCs w:val="28"/>
        </w:rPr>
        <w:t>月   日</w:t>
      </w:r>
    </w:p>
    <w:p>
      <w:pPr>
        <w:spacing w:before="156" w:beforeLines="50" w:line="600" w:lineRule="exact"/>
        <w:ind w:firstLine="1120" w:firstLineChars="400"/>
        <w:rPr>
          <w:rFonts w:ascii="楷体_GB2312" w:hAnsi="宋体" w:eastAsia="楷体_GB2312"/>
          <w:sz w:val="24"/>
        </w:rPr>
      </w:pPr>
      <w:r>
        <w:rPr>
          <w:rFonts w:hint="eastAsia" w:ascii="楷体_GB2312" w:hAnsi="宋体" w:eastAsia="楷体_GB2312"/>
          <w:sz w:val="28"/>
          <w:szCs w:val="28"/>
        </w:rPr>
        <w:t>签订地点：湖南省</w:t>
      </w:r>
      <w:r>
        <w:rPr>
          <w:rFonts w:ascii="楷体_GB2312" w:hAnsi="宋体" w:eastAsia="楷体_GB2312"/>
          <w:sz w:val="28"/>
          <w:szCs w:val="28"/>
        </w:rPr>
        <w:t>长沙</w:t>
      </w:r>
      <w:r>
        <w:rPr>
          <w:rFonts w:hint="eastAsia" w:ascii="楷体_GB2312" w:hAnsi="宋体" w:eastAsia="楷体_GB2312"/>
          <w:sz w:val="28"/>
          <w:szCs w:val="28"/>
        </w:rPr>
        <w:t>市</w:t>
      </w:r>
      <w:r>
        <w:rPr>
          <w:rFonts w:ascii="楷体_GB2312" w:hAnsi="宋体" w:eastAsia="楷体_GB2312"/>
          <w:sz w:val="28"/>
          <w:szCs w:val="28"/>
        </w:rPr>
        <w:br w:type="page"/>
      </w:r>
    </w:p>
    <w:p>
      <w:pPr>
        <w:spacing w:line="600" w:lineRule="exact"/>
        <w:ind w:firstLine="560" w:firstLineChars="200"/>
        <w:rPr>
          <w:rFonts w:ascii="仿宋" w:hAnsi="仿宋" w:eastAsia="仿宋"/>
          <w:sz w:val="28"/>
          <w:szCs w:val="28"/>
        </w:rPr>
      </w:pPr>
      <w:r>
        <w:rPr>
          <w:rFonts w:hint="eastAsia" w:ascii="仿宋" w:hAnsi="仿宋" w:eastAsia="仿宋"/>
          <w:sz w:val="28"/>
          <w:szCs w:val="28"/>
        </w:rPr>
        <w:t>湖南康乃馨养老产业投资置业有限公司（以下简称“甲方”）同意由   公司（以下简称“乙方”）为其提供管理咨询服务，双方经友好协商后订立本合同。</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第一条 乙方应完成咨询服务的具体工作阶段及工作成果如下：</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第</w:t>
      </w:r>
      <w:r>
        <w:rPr>
          <w:rFonts w:hint="eastAsia" w:ascii="仿宋" w:hAnsi="仿宋" w:eastAsia="仿宋"/>
          <w:sz w:val="28"/>
          <w:szCs w:val="28"/>
        </w:rPr>
        <w:t>一</w:t>
      </w:r>
      <w:r>
        <w:rPr>
          <w:rFonts w:ascii="仿宋" w:hAnsi="仿宋" w:eastAsia="仿宋"/>
          <w:sz w:val="28"/>
          <w:szCs w:val="28"/>
        </w:rPr>
        <w:t>阶段：</w:t>
      </w:r>
      <w:r>
        <w:rPr>
          <w:rFonts w:hint="eastAsia" w:ascii="仿宋" w:hAnsi="仿宋" w:eastAsia="仿宋"/>
          <w:sz w:val="28"/>
          <w:szCs w:val="28"/>
        </w:rPr>
        <w:t>调研与内外部环境分析阶段</w:t>
      </w:r>
    </w:p>
    <w:p>
      <w:pPr>
        <w:numPr>
          <w:ilvl w:val="0"/>
          <w:numId w:val="1"/>
        </w:numPr>
        <w:spacing w:line="600" w:lineRule="exact"/>
        <w:rPr>
          <w:rFonts w:ascii="仿宋" w:hAnsi="仿宋" w:eastAsia="仿宋"/>
          <w:sz w:val="28"/>
          <w:szCs w:val="28"/>
        </w:rPr>
      </w:pPr>
      <w:r>
        <w:rPr>
          <w:rFonts w:hint="eastAsia" w:ascii="仿宋" w:hAnsi="仿宋" w:eastAsia="仿宋"/>
          <w:sz w:val="28"/>
          <w:szCs w:val="28"/>
        </w:rPr>
        <w:t>《宏观环境发展分析报告》</w:t>
      </w:r>
    </w:p>
    <w:p>
      <w:pPr>
        <w:numPr>
          <w:ilvl w:val="0"/>
          <w:numId w:val="1"/>
        </w:numPr>
        <w:spacing w:line="600" w:lineRule="exact"/>
        <w:rPr>
          <w:rFonts w:ascii="仿宋" w:hAnsi="仿宋" w:eastAsia="仿宋"/>
          <w:sz w:val="28"/>
          <w:szCs w:val="28"/>
        </w:rPr>
      </w:pPr>
      <w:r>
        <w:rPr>
          <w:rFonts w:hint="eastAsia" w:ascii="仿宋" w:hAnsi="仿宋" w:eastAsia="仿宋"/>
          <w:sz w:val="28"/>
          <w:szCs w:val="28"/>
        </w:rPr>
        <w:t>《产业环境分析报告》</w:t>
      </w:r>
    </w:p>
    <w:p>
      <w:pPr>
        <w:numPr>
          <w:ilvl w:val="0"/>
          <w:numId w:val="1"/>
        </w:numPr>
        <w:spacing w:line="600" w:lineRule="exact"/>
        <w:rPr>
          <w:rFonts w:ascii="仿宋" w:hAnsi="仿宋" w:eastAsia="仿宋"/>
          <w:sz w:val="28"/>
          <w:szCs w:val="28"/>
        </w:rPr>
      </w:pPr>
      <w:r>
        <w:rPr>
          <w:rFonts w:hint="eastAsia" w:ascii="仿宋" w:hAnsi="仿宋" w:eastAsia="仿宋"/>
          <w:sz w:val="28"/>
          <w:szCs w:val="28"/>
        </w:rPr>
        <w:t>《标杆企业研究报告》</w:t>
      </w:r>
    </w:p>
    <w:p>
      <w:pPr>
        <w:numPr>
          <w:ilvl w:val="0"/>
          <w:numId w:val="1"/>
        </w:numPr>
        <w:spacing w:line="600" w:lineRule="exact"/>
        <w:rPr>
          <w:rFonts w:ascii="仿宋" w:hAnsi="仿宋" w:eastAsia="仿宋"/>
          <w:sz w:val="28"/>
          <w:szCs w:val="28"/>
        </w:rPr>
      </w:pPr>
      <w:r>
        <w:rPr>
          <w:rFonts w:hint="eastAsia" w:ascii="仿宋" w:hAnsi="仿宋" w:eastAsia="仿宋"/>
          <w:sz w:val="28"/>
          <w:szCs w:val="28"/>
        </w:rPr>
        <w:t>《湖南康乃馨养老产业投资置业有限公司内部资源能力分析报告》</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第</w:t>
      </w:r>
      <w:r>
        <w:rPr>
          <w:rFonts w:hint="eastAsia" w:ascii="仿宋" w:hAnsi="仿宋" w:eastAsia="仿宋"/>
          <w:sz w:val="28"/>
          <w:szCs w:val="28"/>
        </w:rPr>
        <w:t>二</w:t>
      </w:r>
      <w:r>
        <w:rPr>
          <w:rFonts w:ascii="仿宋" w:hAnsi="仿宋" w:eastAsia="仿宋"/>
          <w:sz w:val="28"/>
          <w:szCs w:val="28"/>
        </w:rPr>
        <w:t>阶段：</w:t>
      </w:r>
      <w:r>
        <w:rPr>
          <w:rFonts w:hint="eastAsia" w:ascii="仿宋" w:hAnsi="仿宋" w:eastAsia="仿宋"/>
          <w:sz w:val="28"/>
          <w:szCs w:val="28"/>
        </w:rPr>
        <w:t>战略设计与编制阶段</w:t>
      </w:r>
    </w:p>
    <w:p>
      <w:pPr>
        <w:numPr>
          <w:ilvl w:val="0"/>
          <w:numId w:val="2"/>
        </w:numPr>
        <w:spacing w:line="600" w:lineRule="exact"/>
        <w:rPr>
          <w:rFonts w:ascii="仿宋" w:hAnsi="仿宋" w:eastAsia="仿宋"/>
          <w:sz w:val="28"/>
          <w:szCs w:val="28"/>
        </w:rPr>
      </w:pPr>
      <w:r>
        <w:rPr>
          <w:rFonts w:hint="eastAsia" w:ascii="仿宋" w:hAnsi="仿宋" w:eastAsia="仿宋"/>
          <w:sz w:val="28"/>
          <w:szCs w:val="28"/>
        </w:rPr>
        <w:t>《湖南康乃馨养老产业投资置业有限公司（含子公司/业务）“十四五”发展战略规划纲要》</w:t>
      </w:r>
    </w:p>
    <w:p>
      <w:pPr>
        <w:numPr>
          <w:ilvl w:val="0"/>
          <w:numId w:val="2"/>
        </w:numPr>
        <w:spacing w:line="600" w:lineRule="exact"/>
        <w:rPr>
          <w:rFonts w:ascii="仿宋" w:hAnsi="仿宋" w:eastAsia="仿宋"/>
          <w:sz w:val="28"/>
          <w:szCs w:val="28"/>
        </w:rPr>
      </w:pPr>
      <w:r>
        <w:rPr>
          <w:rFonts w:hint="eastAsia" w:ascii="仿宋" w:hAnsi="仿宋" w:eastAsia="仿宋"/>
          <w:sz w:val="28"/>
          <w:szCs w:val="28"/>
        </w:rPr>
        <w:t>《湖南康乃馨养老产业投资置业有限公司（含子公司/业务）“十四五”发展战略规划》</w:t>
      </w:r>
    </w:p>
    <w:p>
      <w:pPr>
        <w:numPr>
          <w:ilvl w:val="0"/>
          <w:numId w:val="2"/>
        </w:numPr>
        <w:spacing w:line="600" w:lineRule="exact"/>
        <w:rPr>
          <w:rFonts w:ascii="仿宋" w:hAnsi="仿宋" w:eastAsia="仿宋"/>
          <w:sz w:val="28"/>
          <w:szCs w:val="28"/>
        </w:rPr>
      </w:pPr>
      <w:r>
        <w:rPr>
          <w:rFonts w:hint="eastAsia" w:ascii="仿宋" w:hAnsi="仿宋" w:eastAsia="仿宋"/>
          <w:sz w:val="28"/>
          <w:szCs w:val="28"/>
        </w:rPr>
        <w:t>《湖南康乃馨养老产业投资置业有限公司业务战略规划》</w:t>
      </w:r>
    </w:p>
    <w:p>
      <w:pPr>
        <w:numPr>
          <w:ilvl w:val="0"/>
          <w:numId w:val="2"/>
        </w:numPr>
        <w:spacing w:line="600" w:lineRule="exact"/>
        <w:rPr>
          <w:rFonts w:ascii="仿宋" w:hAnsi="仿宋" w:eastAsia="仿宋"/>
          <w:sz w:val="28"/>
          <w:szCs w:val="28"/>
        </w:rPr>
      </w:pPr>
      <w:r>
        <w:rPr>
          <w:rFonts w:hint="eastAsia" w:ascii="仿宋" w:hAnsi="仿宋" w:eastAsia="仿宋"/>
          <w:sz w:val="28"/>
          <w:szCs w:val="28"/>
        </w:rPr>
        <w:t>《湖南康乃馨养老产业投资置业有限公司职能战略规划》</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第二条 项目日期预定为  年  月  日起至  年  月  日（按日历时间计算，期间遇节假日顺延）， 月  日前完成湖南康乃馨养老产业投资置业有限公司“十四五”战略发展规划评审稿，  月  日前完成湖南康乃馨养老产业投资置业有限公司“十四五”战略发展规划正式稿。在项目进行期间，乙方将对</w:t>
      </w:r>
      <w:r>
        <w:rPr>
          <w:rFonts w:ascii="仿宋" w:hAnsi="仿宋" w:eastAsia="仿宋"/>
          <w:sz w:val="28"/>
          <w:szCs w:val="28"/>
        </w:rPr>
        <w:t>项目成果进行若干次正式</w:t>
      </w:r>
      <w:r>
        <w:rPr>
          <w:rFonts w:hint="eastAsia" w:ascii="仿宋" w:hAnsi="仿宋" w:eastAsia="仿宋"/>
          <w:sz w:val="28"/>
          <w:szCs w:val="28"/>
        </w:rPr>
        <w:t>汇报和专题培训</w:t>
      </w:r>
      <w:r>
        <w:rPr>
          <w:rFonts w:ascii="仿宋" w:hAnsi="仿宋" w:eastAsia="仿宋"/>
          <w:sz w:val="28"/>
          <w:szCs w:val="28"/>
        </w:rPr>
        <w:t>，并将</w:t>
      </w:r>
      <w:r>
        <w:rPr>
          <w:rFonts w:hint="eastAsia" w:ascii="仿宋" w:hAnsi="仿宋" w:eastAsia="仿宋"/>
          <w:sz w:val="28"/>
          <w:szCs w:val="28"/>
        </w:rPr>
        <w:t>根据工作情况安排多次的非正式汇报和沟通。</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第三条 以上成果乙方应保证在甲方能够得到有效实施。</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第四条 咨询费用总额为人民币  万元（包括税费、食宿、差旅、办公及其他必要费用）。</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第五条 付款方式：甲方分三次按以下方式向乙方支付。</w:t>
      </w:r>
    </w:p>
    <w:p>
      <w:pPr>
        <w:spacing w:line="6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乙方在完成公司“十四五”发展规划基本框架与思路等成果，提交并得到甲方确认通过后的十个工作日内，甲方向乙方支付咨询服务费用总额的 30 %，即人民币（小写）     ，（大写）    元。</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乙方在完成《湖南康乃馨养老产业投资置业有限公司“十四五”发展战略规划》送审稿等成果，经甲方董事会审议并修改确认后的十个工作日内，甲方向乙方支付咨询服务费用总额的 50 %，即人民币（小写）    ，（大写）   元。</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乙方完成的《湖南康乃馨养老产业投资置业有限公司“十四五”发展战略规划》成果，经甲方公司上级主管单位审定批复并按其要求修改后提交终稿后十个工作日内，甲方向乙方支付咨询服务费用总额的 20 %，即人民币（小写）   ，（大写）   元。</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咨询后续服务：项目结束后三年内，免费。</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如乙方未在规定的截止日期完成相应工作任务，甲方有权延迟未付款项的支付；如乙方完成的工作质量不能让甲方基本满意，甲方有权拒绝支付未付款项。</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w:t>
      </w:r>
      <w:r>
        <w:rPr>
          <w:rFonts w:hint="eastAsia" w:ascii="仿宋" w:hAnsi="仿宋" w:eastAsia="仿宋"/>
          <w:sz w:val="28"/>
          <w:szCs w:val="28"/>
        </w:rPr>
        <w:t>乙方在</w:t>
      </w:r>
      <w:r>
        <w:rPr>
          <w:rFonts w:ascii="仿宋" w:hAnsi="仿宋" w:eastAsia="仿宋"/>
          <w:sz w:val="28"/>
          <w:szCs w:val="28"/>
        </w:rPr>
        <w:t>甲方</w:t>
      </w:r>
      <w:r>
        <w:rPr>
          <w:rFonts w:hint="eastAsia" w:ascii="仿宋" w:hAnsi="仿宋" w:eastAsia="仿宋"/>
          <w:sz w:val="28"/>
          <w:szCs w:val="28"/>
        </w:rPr>
        <w:t>付款前</w:t>
      </w:r>
      <w:r>
        <w:rPr>
          <w:rFonts w:ascii="仿宋" w:hAnsi="仿宋" w:eastAsia="仿宋"/>
          <w:sz w:val="28"/>
          <w:szCs w:val="28"/>
        </w:rPr>
        <w:t>，</w:t>
      </w:r>
      <w:r>
        <w:rPr>
          <w:rFonts w:hint="eastAsia" w:ascii="仿宋" w:hAnsi="仿宋" w:eastAsia="仿宋"/>
          <w:sz w:val="28"/>
          <w:szCs w:val="28"/>
        </w:rPr>
        <w:t>应向甲方提供有效的税务发票。</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甲方将通过电汇方式将本合同约定的款项按时汇入乙方如下银行帐号：</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户  名：</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开户行：</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帐  号：</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第六条 乙方项目组成员安排</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1.项目咨询顾问：乙方为本项目委派项目总监</w:t>
      </w:r>
      <w:r>
        <w:rPr>
          <w:rFonts w:ascii="仿宋" w:hAnsi="仿宋" w:eastAsia="仿宋"/>
          <w:sz w:val="28"/>
          <w:szCs w:val="28"/>
        </w:rPr>
        <w:t xml:space="preserve">  </w:t>
      </w:r>
      <w:r>
        <w:rPr>
          <w:rFonts w:hint="eastAsia" w:ascii="仿宋" w:hAnsi="仿宋" w:eastAsia="仿宋"/>
          <w:sz w:val="28"/>
          <w:szCs w:val="28"/>
        </w:rPr>
        <w:t xml:space="preserve">人，由  担任；现场项目咨询顾问 </w:t>
      </w:r>
      <w:r>
        <w:rPr>
          <w:rFonts w:ascii="仿宋" w:hAnsi="仿宋" w:eastAsia="仿宋"/>
          <w:sz w:val="28"/>
          <w:szCs w:val="28"/>
        </w:rPr>
        <w:t xml:space="preserve">  </w:t>
      </w:r>
      <w:r>
        <w:rPr>
          <w:rFonts w:hint="eastAsia" w:ascii="仿宋" w:hAnsi="仿宋" w:eastAsia="仿宋"/>
          <w:sz w:val="28"/>
          <w:szCs w:val="28"/>
        </w:rPr>
        <w:t xml:space="preserve">人，其中：项目经理 </w:t>
      </w:r>
      <w:r>
        <w:rPr>
          <w:rFonts w:ascii="仿宋" w:hAnsi="仿宋" w:eastAsia="仿宋"/>
          <w:sz w:val="28"/>
          <w:szCs w:val="28"/>
        </w:rPr>
        <w:t xml:space="preserve">  </w:t>
      </w:r>
      <w:r>
        <w:rPr>
          <w:rFonts w:hint="eastAsia" w:ascii="仿宋" w:hAnsi="仿宋" w:eastAsia="仿宋"/>
          <w:sz w:val="28"/>
          <w:szCs w:val="28"/>
        </w:rPr>
        <w:t xml:space="preserve">人，由 </w:t>
      </w:r>
      <w:r>
        <w:rPr>
          <w:rFonts w:ascii="仿宋" w:hAnsi="仿宋" w:eastAsia="仿宋"/>
          <w:sz w:val="28"/>
          <w:szCs w:val="28"/>
        </w:rPr>
        <w:t xml:space="preserve">   </w:t>
      </w:r>
      <w:r>
        <w:rPr>
          <w:rFonts w:hint="eastAsia" w:ascii="仿宋" w:hAnsi="仿宋" w:eastAsia="仿宋"/>
          <w:sz w:val="28"/>
          <w:szCs w:val="28"/>
        </w:rPr>
        <w:t xml:space="preserve">担任；咨询顾问 </w:t>
      </w:r>
      <w:r>
        <w:rPr>
          <w:rFonts w:ascii="仿宋" w:hAnsi="仿宋" w:eastAsia="仿宋"/>
          <w:sz w:val="28"/>
          <w:szCs w:val="28"/>
        </w:rPr>
        <w:t xml:space="preserve">  </w:t>
      </w:r>
      <w:r>
        <w:rPr>
          <w:rFonts w:hint="eastAsia" w:ascii="仿宋" w:hAnsi="仿宋" w:eastAsia="仿宋"/>
          <w:sz w:val="28"/>
          <w:szCs w:val="28"/>
        </w:rPr>
        <w:t xml:space="preserve">人。 </w:t>
      </w:r>
    </w:p>
    <w:p>
      <w:pPr>
        <w:spacing w:line="6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.项目支持人员：乙方将根据情况安排项目研究和后勤支持人员，项目支持人员为项目组提供后台支持工作，不在甲方现场工作。</w:t>
      </w:r>
    </w:p>
    <w:p>
      <w:pPr>
        <w:spacing w:line="6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.根据项目需要，乙方有权利增加咨询顾问人员，以保证项目如期高质量完成。增加咨询顾问不另增加咨询费用。</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第七条 甲方权利</w:t>
      </w:r>
    </w:p>
    <w:p>
      <w:pPr>
        <w:spacing w:line="6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甲方有权要求乙方按合同规定提供管理咨询服务。</w:t>
      </w:r>
    </w:p>
    <w:p>
      <w:pPr>
        <w:spacing w:line="6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未经甲方书面同意，乙方不得向任何第三方透露咨询项目的任何内容。</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乙方不得向任何第三方透露在甲方公司（包括其分支机构、控股公司和合资公司）了解和知悉的商业和经营机密，包括技术秘密、市场秘密、财务秘密、管理秘密及其它方面的秘密信息。</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乙方人员在甲方公司内活动时，需听从有关人员的安排和引导，未经允许不得进入机房、办公室等工作环境。</w:t>
      </w:r>
    </w:p>
    <w:p>
      <w:pPr>
        <w:spacing w:line="60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甲方提出收回有关资料时，乙方应将有关资料及其复制件交还甲方。</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w:t>
      </w:r>
      <w:r>
        <w:rPr>
          <w:rFonts w:hint="eastAsia" w:ascii="仿宋" w:hAnsi="仿宋" w:eastAsia="仿宋"/>
          <w:sz w:val="28"/>
          <w:szCs w:val="28"/>
        </w:rPr>
        <w:t>甲方在项目结束后，有权要求乙方提供用MICROSOFT POWERPOINT或</w:t>
      </w:r>
      <w:r>
        <w:rPr>
          <w:rFonts w:ascii="仿宋" w:hAnsi="仿宋" w:eastAsia="仿宋"/>
          <w:sz w:val="28"/>
          <w:szCs w:val="28"/>
        </w:rPr>
        <w:t>WORD</w:t>
      </w:r>
      <w:r>
        <w:rPr>
          <w:rFonts w:hint="eastAsia" w:ascii="仿宋" w:hAnsi="仿宋" w:eastAsia="仿宋"/>
          <w:sz w:val="28"/>
          <w:szCs w:val="28"/>
        </w:rPr>
        <w:t>文件写成的正式报告一份（含电子版中文报告一份）。</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w:t>
      </w:r>
      <w:r>
        <w:rPr>
          <w:rFonts w:hint="eastAsia" w:ascii="仿宋" w:hAnsi="仿宋" w:eastAsia="仿宋"/>
          <w:sz w:val="28"/>
          <w:szCs w:val="28"/>
        </w:rPr>
        <w:t>项目结束后三年内，甲方有权要求乙方就报告内容随时接受甲方及甲方主管部门的询问，乙方应以书面方式予以回复，必要时乙方应予现场解答。</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第八条 甲方责任</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甲方必须严格依约向乙方支付合同款项及工作费用。</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甲方应根据乙方的要求向乙方提供真实、全面、准确的信息及公司资料。</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未经乙方书面同意，甲方不得向第三方透露双方洽谈的情况及签署的任何文件，包括合同、协议、备忘录、订单等所包含的一切信息。</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甲方将根据乙方的要求，组建一支项目团队配合咨询公司的工作。</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在项目现场工作期间，甲方应向乙方派出的咨询人员提供必要的办公场所和办公条件。</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w:t>
      </w:r>
      <w:r>
        <w:rPr>
          <w:rFonts w:hint="eastAsia" w:ascii="仿宋" w:hAnsi="仿宋" w:eastAsia="仿宋"/>
          <w:sz w:val="28"/>
          <w:szCs w:val="28"/>
        </w:rPr>
        <w:t>项目</w:t>
      </w:r>
      <w:r>
        <w:rPr>
          <w:rFonts w:ascii="仿宋" w:hAnsi="仿宋" w:eastAsia="仿宋"/>
          <w:sz w:val="28"/>
          <w:szCs w:val="28"/>
        </w:rPr>
        <w:t>结束后三年内，应甲方要求，乙方为甲方提供售后服务</w:t>
      </w:r>
      <w:r>
        <w:rPr>
          <w:rFonts w:hint="eastAsia" w:ascii="仿宋" w:hAnsi="仿宋" w:eastAsia="仿宋"/>
          <w:sz w:val="28"/>
          <w:szCs w:val="28"/>
        </w:rPr>
        <w:t>所</w:t>
      </w:r>
      <w:r>
        <w:rPr>
          <w:rFonts w:ascii="仿宋" w:hAnsi="仿宋" w:eastAsia="仿宋"/>
          <w:sz w:val="28"/>
          <w:szCs w:val="28"/>
        </w:rPr>
        <w:t>发生的差旅</w:t>
      </w:r>
      <w:r>
        <w:rPr>
          <w:rFonts w:hint="eastAsia" w:ascii="仿宋" w:hAnsi="仿宋" w:eastAsia="仿宋"/>
          <w:sz w:val="28"/>
          <w:szCs w:val="28"/>
        </w:rPr>
        <w:t>食宿</w:t>
      </w:r>
      <w:r>
        <w:rPr>
          <w:rFonts w:ascii="仿宋" w:hAnsi="仿宋" w:eastAsia="仿宋"/>
          <w:sz w:val="28"/>
          <w:szCs w:val="28"/>
        </w:rPr>
        <w:t>费用由</w:t>
      </w:r>
      <w:r>
        <w:rPr>
          <w:rFonts w:hint="eastAsia" w:ascii="仿宋" w:hAnsi="仿宋" w:eastAsia="仿宋"/>
          <w:sz w:val="28"/>
          <w:szCs w:val="28"/>
        </w:rPr>
        <w:t>甲方</w:t>
      </w:r>
      <w:r>
        <w:rPr>
          <w:rFonts w:ascii="仿宋" w:hAnsi="仿宋" w:eastAsia="仿宋"/>
          <w:sz w:val="28"/>
          <w:szCs w:val="28"/>
        </w:rPr>
        <w:t>承担</w:t>
      </w:r>
      <w:r>
        <w:rPr>
          <w:rFonts w:hint="eastAsia" w:ascii="仿宋" w:hAnsi="仿宋" w:eastAsia="仿宋"/>
          <w:sz w:val="28"/>
          <w:szCs w:val="28"/>
        </w:rPr>
        <w:t>，费用的标准按照甲方内部的制度执行</w:t>
      </w:r>
      <w:r>
        <w:rPr>
          <w:rFonts w:ascii="仿宋" w:hAnsi="仿宋" w:eastAsia="仿宋"/>
          <w:sz w:val="28"/>
          <w:szCs w:val="28"/>
        </w:rPr>
        <w:t>。</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第九条 乙方权利</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乙方有权要求甲方遵守本合同规定。</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未经乙方书面同意，甲方不得向任何第三方透露咨询项目的任何内容，包括双方洽谈的情况及签署的任何文件，以及咨询费用、合同、协议、备忘录、订单等所包含的一切信息。</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甲方承诺，甲方及其关联企业（包括分支机构、控股公司、合资公司等）不得以高薪、提职或其他物质条件录用乙方的工作人员。</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乙方工作人员包括：乙方的在职人员、包括并不限于和乙方有劳动合同关系，或者正在为乙方完成某一项目的临时工作人员、技术人员以及顾问等。</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第十条 乙方责任</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乙方不得无理拒绝甲方的相关咨询，对甲方的相关咨询必须给予明确的书面答复。</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乙方按照本合同及附件规定开展咨询服务工作。</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乙方要对咨询服务的工作量、正确性、完整性、合法性和及时性负责，但如果甲方对乙方的工作不予配合或者提供的资料不真实、准确，全面导致乙方的工作报告结论错误，乙方对此不承担责任。</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乙方要对甲方配备的项目团队进行充分的培训和指导，以高效配合咨询公司的工作。</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未经</w:t>
      </w:r>
      <w:r>
        <w:rPr>
          <w:rFonts w:ascii="仿宋" w:hAnsi="仿宋" w:eastAsia="仿宋"/>
          <w:sz w:val="28"/>
          <w:szCs w:val="28"/>
        </w:rPr>
        <w:t>甲方同意，乙方不得更换项目成员。</w:t>
      </w:r>
      <w:r>
        <w:rPr>
          <w:rFonts w:hint="eastAsia" w:ascii="仿宋" w:hAnsi="仿宋" w:eastAsia="仿宋"/>
          <w:sz w:val="28"/>
          <w:szCs w:val="28"/>
        </w:rPr>
        <w:t>如乙方需要更换人员须提前一周书面向甲方提出申请，且替换后人员职称资历不得低于原工作人员，未经甲方同意乙方擅自替换人员，需承担违约责任。</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w:t>
      </w:r>
      <w:r>
        <w:rPr>
          <w:rFonts w:hint="eastAsia" w:ascii="仿宋" w:hAnsi="仿宋" w:eastAsia="仿宋"/>
          <w:sz w:val="28"/>
          <w:szCs w:val="28"/>
        </w:rPr>
        <w:t>项目结束后三年内</w:t>
      </w:r>
      <w:r>
        <w:rPr>
          <w:rFonts w:ascii="仿宋" w:hAnsi="仿宋" w:eastAsia="仿宋"/>
          <w:sz w:val="28"/>
          <w:szCs w:val="28"/>
        </w:rPr>
        <w:t>,</w:t>
      </w:r>
      <w:r>
        <w:rPr>
          <w:rFonts w:hint="eastAsia" w:ascii="仿宋" w:hAnsi="仿宋" w:eastAsia="仿宋"/>
          <w:sz w:val="28"/>
          <w:szCs w:val="28"/>
        </w:rPr>
        <w:t>乙方</w:t>
      </w:r>
      <w:r>
        <w:rPr>
          <w:rFonts w:ascii="仿宋" w:hAnsi="仿宋" w:eastAsia="仿宋"/>
          <w:sz w:val="28"/>
          <w:szCs w:val="28"/>
        </w:rPr>
        <w:t>承诺</w:t>
      </w:r>
      <w:r>
        <w:rPr>
          <w:rFonts w:hint="eastAsia" w:ascii="仿宋" w:hAnsi="仿宋" w:eastAsia="仿宋"/>
          <w:sz w:val="28"/>
          <w:szCs w:val="28"/>
        </w:rPr>
        <w:t>为甲方就咨询报告内容的理解和实施反馈提供免费售后服务。</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第十一条 违约责任</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由于不可抗力导致无法履行本合同或者履行本合同已无意义的情况下，甲乙双方可以终止合同，但发生不可抗力的一方必须在发生不可抗力事件后</w:t>
      </w:r>
      <w:r>
        <w:rPr>
          <w:rFonts w:ascii="仿宋" w:hAnsi="仿宋" w:eastAsia="仿宋"/>
          <w:sz w:val="28"/>
          <w:szCs w:val="28"/>
        </w:rPr>
        <w:t>10</w:t>
      </w:r>
      <w:r>
        <w:rPr>
          <w:rFonts w:hint="eastAsia" w:ascii="仿宋" w:hAnsi="仿宋" w:eastAsia="仿宋"/>
          <w:sz w:val="28"/>
          <w:szCs w:val="28"/>
        </w:rPr>
        <w:t>日内向对方提出相关证明。因此造成的合同无法履行，不能履行合同的一方不承担违约责任或赔偿责任；除不可抗力的原因外，任何一方不得在未经对方书面同意的情况下单方面终止合同，否则将承担违约责任并承担因此给对方造成的经济损失。</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甲乙任何一方如有违反本合同条款，守约方有权以书面形式通知对方后</w:t>
      </w:r>
      <w:r>
        <w:rPr>
          <w:rFonts w:ascii="仿宋" w:hAnsi="仿宋" w:eastAsia="仿宋"/>
          <w:sz w:val="28"/>
          <w:szCs w:val="28"/>
        </w:rPr>
        <w:t>一星期内</w:t>
      </w:r>
      <w:r>
        <w:rPr>
          <w:rFonts w:hint="eastAsia" w:ascii="仿宋" w:hAnsi="仿宋" w:eastAsia="仿宋"/>
          <w:sz w:val="28"/>
          <w:szCs w:val="28"/>
        </w:rPr>
        <w:t>终止本合同，并有权要求对方承担违约责任和赔偿责任。</w:t>
      </w:r>
    </w:p>
    <w:p>
      <w:pPr>
        <w:spacing w:line="600" w:lineRule="exact"/>
        <w:ind w:firstLine="560" w:firstLineChars="2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第十二条 本合同未尽事宜，由双方协商另作补充协议，补充协议与本合同具有同等法律效力。</w:t>
      </w:r>
    </w:p>
    <w:p>
      <w:pPr>
        <w:spacing w:line="600" w:lineRule="exact"/>
        <w:ind w:firstLine="560" w:firstLineChars="2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第十三条 本合同履行期间，如双方发生争议，应友好协商解决。如协商无效，任何一方均可向甲方所在地有管辖权的人民法院提起诉讼。</w:t>
      </w:r>
    </w:p>
    <w:p>
      <w:pPr>
        <w:spacing w:line="600" w:lineRule="exact"/>
        <w:ind w:firstLine="560" w:firstLineChars="2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第十四条 本合同之附件为本合同组成部分，与本合同具有同等效力。</w:t>
      </w:r>
    </w:p>
    <w:p>
      <w:pPr>
        <w:spacing w:line="600" w:lineRule="exact"/>
        <w:ind w:firstLine="560" w:firstLineChars="2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第十五条 本合同一式肆份，甲乙双方各执贰份。由甲乙双方代表在本合同及附件上签字盖章之日起生效。</w:t>
      </w:r>
    </w:p>
    <w:p>
      <w:pPr>
        <w:spacing w:line="600" w:lineRule="exact"/>
        <w:rPr>
          <w:rFonts w:ascii="仿宋" w:hAnsi="仿宋" w:eastAsia="仿宋"/>
          <w:sz w:val="28"/>
          <w:szCs w:val="28"/>
        </w:rPr>
      </w:pPr>
    </w:p>
    <w:p>
      <w:pPr>
        <w:spacing w:line="600" w:lineRule="exact"/>
        <w:ind w:firstLine="560" w:firstLineChars="200"/>
        <w:rPr>
          <w:rFonts w:ascii="仿宋" w:hAnsi="仿宋" w:eastAsia="仿宋"/>
          <w:sz w:val="28"/>
          <w:szCs w:val="28"/>
        </w:rPr>
      </w:pPr>
      <w:r>
        <w:rPr>
          <w:rFonts w:hint="eastAsia" w:ascii="仿宋" w:hAnsi="仿宋" w:eastAsia="仿宋"/>
          <w:sz w:val="28"/>
          <w:szCs w:val="28"/>
        </w:rPr>
        <w:t xml:space="preserve">甲方：                      </w:t>
      </w:r>
      <w:r>
        <w:rPr>
          <w:rFonts w:ascii="仿宋" w:hAnsi="仿宋" w:eastAsia="仿宋"/>
          <w:sz w:val="28"/>
          <w:szCs w:val="28"/>
        </w:rPr>
        <w:t xml:space="preserve">     </w:t>
      </w:r>
      <w:r>
        <w:rPr>
          <w:rFonts w:hint="eastAsia" w:ascii="仿宋" w:hAnsi="仿宋" w:eastAsia="仿宋"/>
          <w:sz w:val="28"/>
          <w:szCs w:val="28"/>
        </w:rPr>
        <w:t xml:space="preserve"> 乙方：</w:t>
      </w:r>
    </w:p>
    <w:p>
      <w:pPr>
        <w:spacing w:line="600" w:lineRule="exact"/>
        <w:rPr>
          <w:rFonts w:ascii="仿宋" w:hAnsi="仿宋" w:eastAsia="仿宋"/>
          <w:sz w:val="28"/>
          <w:szCs w:val="28"/>
        </w:rPr>
      </w:pPr>
    </w:p>
    <w:p>
      <w:pPr>
        <w:spacing w:line="600" w:lineRule="exact"/>
        <w:ind w:firstLine="560" w:firstLineChars="200"/>
        <w:rPr>
          <w:rFonts w:ascii="仿宋" w:hAnsi="仿宋" w:eastAsia="仿宋"/>
          <w:sz w:val="28"/>
          <w:szCs w:val="28"/>
        </w:rPr>
      </w:pPr>
      <w:r>
        <w:rPr>
          <w:rFonts w:hint="eastAsia" w:ascii="仿宋" w:hAnsi="仿宋" w:eastAsia="仿宋"/>
          <w:sz w:val="28"/>
          <w:szCs w:val="28"/>
        </w:rPr>
        <w:t>法定代表或授权代表：</w:t>
      </w:r>
      <w:r>
        <w:rPr>
          <w:rFonts w:ascii="仿宋" w:hAnsi="仿宋" w:eastAsia="仿宋"/>
          <w:sz w:val="28"/>
          <w:szCs w:val="28"/>
        </w:rPr>
        <w:t xml:space="preserve">              </w:t>
      </w:r>
      <w:r>
        <w:rPr>
          <w:rFonts w:hint="eastAsia" w:ascii="仿宋" w:hAnsi="仿宋" w:eastAsia="仿宋"/>
          <w:sz w:val="28"/>
          <w:szCs w:val="28"/>
        </w:rPr>
        <w:t>法定代表或授权代表：</w:t>
      </w:r>
    </w:p>
    <w:p>
      <w:pPr>
        <w:spacing w:line="600" w:lineRule="exact"/>
        <w:rPr>
          <w:rFonts w:ascii="仿宋" w:hAnsi="仿宋" w:eastAsia="仿宋"/>
          <w:sz w:val="28"/>
          <w:szCs w:val="28"/>
        </w:rPr>
      </w:pPr>
    </w:p>
    <w:p>
      <w:pPr>
        <w:spacing w:line="600" w:lineRule="exact"/>
        <w:ind w:firstLine="560" w:firstLineChars="200"/>
        <w:rPr>
          <w:rFonts w:ascii="仿宋" w:hAnsi="仿宋" w:eastAsia="仿宋"/>
          <w:sz w:val="28"/>
          <w:szCs w:val="28"/>
        </w:rPr>
      </w:pPr>
      <w:r>
        <w:rPr>
          <w:rFonts w:hint="eastAsia" w:ascii="仿宋" w:hAnsi="仿宋" w:eastAsia="仿宋"/>
          <w:sz w:val="28"/>
          <w:szCs w:val="28"/>
        </w:rPr>
        <w:t>签订日期：</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签订日期：</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p>
      <w:pPr>
        <w:tabs>
          <w:tab w:val="left" w:pos="1980"/>
        </w:tabs>
        <w:spacing w:line="600" w:lineRule="exact"/>
        <w:rPr>
          <w:rFonts w:ascii="楷体_GB2312" w:hAnsi="宋体" w:eastAsia="楷体_GB2312"/>
          <w:sz w:val="30"/>
        </w:rPr>
      </w:pPr>
    </w:p>
    <w:p>
      <w:pPr>
        <w:tabs>
          <w:tab w:val="left" w:pos="0"/>
          <w:tab w:val="left" w:pos="2280"/>
        </w:tabs>
        <w:adjustRightInd w:val="0"/>
        <w:snapToGrid w:val="0"/>
        <w:spacing w:after="120" w:line="600" w:lineRule="exact"/>
      </w:pPr>
    </w:p>
    <w:p>
      <w:pPr>
        <w:pStyle w:val="4"/>
        <w:spacing w:line="600" w:lineRule="exact"/>
        <w:ind w:firstLine="562"/>
      </w:pPr>
      <w:r>
        <w:rPr>
          <w:rFonts w:hint="eastAsia" w:ascii="仿宋" w:hAnsi="仿宋" w:eastAsia="仿宋"/>
          <w:b/>
          <w:bCs/>
          <w:sz w:val="28"/>
          <w:szCs w:val="28"/>
        </w:rPr>
        <w:t>上述合同条款仅供参考，以双方最终签订的合同为准。</w:t>
      </w:r>
    </w:p>
    <w:sectPr>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5841" w:y="122"/>
      <w:rPr>
        <w:rStyle w:val="18"/>
      </w:rPr>
    </w:pPr>
    <w:r>
      <w:fldChar w:fldCharType="begin"/>
    </w:r>
    <w:r>
      <w:rPr>
        <w:rStyle w:val="18"/>
      </w:rPr>
      <w:instrText xml:space="preserve">PAGE  </w:instrText>
    </w:r>
    <w:r>
      <w:fldChar w:fldCharType="separate"/>
    </w:r>
    <w:r>
      <w:rPr>
        <w:rStyle w:val="18"/>
      </w:rPr>
      <w:t>- 2 -</w:t>
    </w:r>
    <w: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E0567"/>
    <w:multiLevelType w:val="multilevel"/>
    <w:tmpl w:val="060E0567"/>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12E62D20"/>
    <w:multiLevelType w:val="multilevel"/>
    <w:tmpl w:val="12E62D20"/>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iY2FlZmY0MzRkOGQyODUwNjJiNjJiMjkxYzBmODEifQ=="/>
  </w:docVars>
  <w:rsids>
    <w:rsidRoot w:val="6B5027C7"/>
    <w:rsid w:val="000B046F"/>
    <w:rsid w:val="00381040"/>
    <w:rsid w:val="007910FE"/>
    <w:rsid w:val="008560E2"/>
    <w:rsid w:val="00861DAB"/>
    <w:rsid w:val="009B6402"/>
    <w:rsid w:val="00B53385"/>
    <w:rsid w:val="00B65D1D"/>
    <w:rsid w:val="00BA20EC"/>
    <w:rsid w:val="00FA7DCA"/>
    <w:rsid w:val="017E651E"/>
    <w:rsid w:val="01973B44"/>
    <w:rsid w:val="01E161D0"/>
    <w:rsid w:val="025F28B4"/>
    <w:rsid w:val="03977E2B"/>
    <w:rsid w:val="03F875A9"/>
    <w:rsid w:val="04477F08"/>
    <w:rsid w:val="05747FA6"/>
    <w:rsid w:val="05EC0902"/>
    <w:rsid w:val="074107DA"/>
    <w:rsid w:val="09502F56"/>
    <w:rsid w:val="098B5BDC"/>
    <w:rsid w:val="0A0A4848"/>
    <w:rsid w:val="0B035E34"/>
    <w:rsid w:val="0CCE0D62"/>
    <w:rsid w:val="0D5F7C0C"/>
    <w:rsid w:val="0DCB34F3"/>
    <w:rsid w:val="0DF67753"/>
    <w:rsid w:val="0FBA381F"/>
    <w:rsid w:val="10734C6D"/>
    <w:rsid w:val="11166833"/>
    <w:rsid w:val="11366ED6"/>
    <w:rsid w:val="13522F2F"/>
    <w:rsid w:val="14607975"/>
    <w:rsid w:val="14EA425F"/>
    <w:rsid w:val="14F842E8"/>
    <w:rsid w:val="16585B40"/>
    <w:rsid w:val="16864477"/>
    <w:rsid w:val="16BE3BF5"/>
    <w:rsid w:val="17261B4A"/>
    <w:rsid w:val="17554E0E"/>
    <w:rsid w:val="17563E2E"/>
    <w:rsid w:val="17DB3AB4"/>
    <w:rsid w:val="17EA68FB"/>
    <w:rsid w:val="189C1850"/>
    <w:rsid w:val="194A5C14"/>
    <w:rsid w:val="1A69031C"/>
    <w:rsid w:val="1B185113"/>
    <w:rsid w:val="1B852F33"/>
    <w:rsid w:val="1B9D731C"/>
    <w:rsid w:val="1C1D257D"/>
    <w:rsid w:val="1C450915"/>
    <w:rsid w:val="1C552FDB"/>
    <w:rsid w:val="1D131734"/>
    <w:rsid w:val="1D7842C5"/>
    <w:rsid w:val="1E35558C"/>
    <w:rsid w:val="1E702145"/>
    <w:rsid w:val="1EC446C1"/>
    <w:rsid w:val="1EE53CE9"/>
    <w:rsid w:val="22883309"/>
    <w:rsid w:val="22E506FB"/>
    <w:rsid w:val="24431BDE"/>
    <w:rsid w:val="24B0535B"/>
    <w:rsid w:val="25F0369F"/>
    <w:rsid w:val="25F969F8"/>
    <w:rsid w:val="26D0702D"/>
    <w:rsid w:val="27C1277D"/>
    <w:rsid w:val="28351E6E"/>
    <w:rsid w:val="29000C1A"/>
    <w:rsid w:val="292835F2"/>
    <w:rsid w:val="2A73664D"/>
    <w:rsid w:val="2AE632C3"/>
    <w:rsid w:val="2B4D3342"/>
    <w:rsid w:val="2B7E52A9"/>
    <w:rsid w:val="2BA724B9"/>
    <w:rsid w:val="2C043A01"/>
    <w:rsid w:val="2C940823"/>
    <w:rsid w:val="2DB41456"/>
    <w:rsid w:val="2DD93603"/>
    <w:rsid w:val="2F5922B5"/>
    <w:rsid w:val="2F5B427F"/>
    <w:rsid w:val="2F61412B"/>
    <w:rsid w:val="2FDD4C94"/>
    <w:rsid w:val="304755A4"/>
    <w:rsid w:val="305A4537"/>
    <w:rsid w:val="308A37FF"/>
    <w:rsid w:val="3103691D"/>
    <w:rsid w:val="31815AF3"/>
    <w:rsid w:val="31C0661C"/>
    <w:rsid w:val="321E77E6"/>
    <w:rsid w:val="32D54349"/>
    <w:rsid w:val="33105381"/>
    <w:rsid w:val="33596D28"/>
    <w:rsid w:val="346A0AC1"/>
    <w:rsid w:val="35DC779C"/>
    <w:rsid w:val="3619454C"/>
    <w:rsid w:val="36E74FB6"/>
    <w:rsid w:val="37F730AA"/>
    <w:rsid w:val="39612178"/>
    <w:rsid w:val="398C38DF"/>
    <w:rsid w:val="39934616"/>
    <w:rsid w:val="39DC7D6B"/>
    <w:rsid w:val="3B0D21A6"/>
    <w:rsid w:val="3B251BE5"/>
    <w:rsid w:val="3B8B2CBE"/>
    <w:rsid w:val="3CB94393"/>
    <w:rsid w:val="3CE533DA"/>
    <w:rsid w:val="3DEB6306"/>
    <w:rsid w:val="3FB263DF"/>
    <w:rsid w:val="407056B1"/>
    <w:rsid w:val="40996ECE"/>
    <w:rsid w:val="418C101E"/>
    <w:rsid w:val="41E15F5B"/>
    <w:rsid w:val="420F0646"/>
    <w:rsid w:val="43963680"/>
    <w:rsid w:val="43DB205C"/>
    <w:rsid w:val="45704164"/>
    <w:rsid w:val="45815C6A"/>
    <w:rsid w:val="4586652B"/>
    <w:rsid w:val="45CA13BF"/>
    <w:rsid w:val="45DD50CE"/>
    <w:rsid w:val="45E306D3"/>
    <w:rsid w:val="46A47E62"/>
    <w:rsid w:val="46E44703"/>
    <w:rsid w:val="46F22D09"/>
    <w:rsid w:val="47150340"/>
    <w:rsid w:val="473849AD"/>
    <w:rsid w:val="47BA5463"/>
    <w:rsid w:val="483B7D53"/>
    <w:rsid w:val="48731F9A"/>
    <w:rsid w:val="48BD16AF"/>
    <w:rsid w:val="48C77E38"/>
    <w:rsid w:val="48E629B4"/>
    <w:rsid w:val="49816239"/>
    <w:rsid w:val="49A34401"/>
    <w:rsid w:val="4A976FC6"/>
    <w:rsid w:val="4AB16FF2"/>
    <w:rsid w:val="4ABA5EA6"/>
    <w:rsid w:val="4BB04DEB"/>
    <w:rsid w:val="4BF61160"/>
    <w:rsid w:val="4C085898"/>
    <w:rsid w:val="4C285091"/>
    <w:rsid w:val="4CDA2830"/>
    <w:rsid w:val="4D0A4797"/>
    <w:rsid w:val="4D893A63"/>
    <w:rsid w:val="4DA76875"/>
    <w:rsid w:val="4F024BE3"/>
    <w:rsid w:val="4F357C81"/>
    <w:rsid w:val="50836D3A"/>
    <w:rsid w:val="50C01D3C"/>
    <w:rsid w:val="51071719"/>
    <w:rsid w:val="51AC0905"/>
    <w:rsid w:val="52ED493F"/>
    <w:rsid w:val="53896362"/>
    <w:rsid w:val="54F16B01"/>
    <w:rsid w:val="551F05A8"/>
    <w:rsid w:val="55212EE7"/>
    <w:rsid w:val="55FA184D"/>
    <w:rsid w:val="56737851"/>
    <w:rsid w:val="575612E0"/>
    <w:rsid w:val="57EE718F"/>
    <w:rsid w:val="58845D45"/>
    <w:rsid w:val="58BD150F"/>
    <w:rsid w:val="59BC1DD2"/>
    <w:rsid w:val="59E940B2"/>
    <w:rsid w:val="5A015C8F"/>
    <w:rsid w:val="5A197488"/>
    <w:rsid w:val="5A653116"/>
    <w:rsid w:val="5A663B4F"/>
    <w:rsid w:val="5B954599"/>
    <w:rsid w:val="5C25514A"/>
    <w:rsid w:val="5C2A09B2"/>
    <w:rsid w:val="5E820631"/>
    <w:rsid w:val="5ED63AF3"/>
    <w:rsid w:val="5FF75E45"/>
    <w:rsid w:val="60473A6F"/>
    <w:rsid w:val="62575C5E"/>
    <w:rsid w:val="640B10C9"/>
    <w:rsid w:val="64175CC0"/>
    <w:rsid w:val="647629E6"/>
    <w:rsid w:val="64803A58"/>
    <w:rsid w:val="65B14C38"/>
    <w:rsid w:val="664E34EF"/>
    <w:rsid w:val="669B770B"/>
    <w:rsid w:val="67F85E08"/>
    <w:rsid w:val="68780354"/>
    <w:rsid w:val="690456FB"/>
    <w:rsid w:val="6942733B"/>
    <w:rsid w:val="6AC93666"/>
    <w:rsid w:val="6B5027C7"/>
    <w:rsid w:val="6C287108"/>
    <w:rsid w:val="6CB71DEE"/>
    <w:rsid w:val="6DDD3AD6"/>
    <w:rsid w:val="6DE74955"/>
    <w:rsid w:val="6E0C782C"/>
    <w:rsid w:val="6E3D27C7"/>
    <w:rsid w:val="6F683873"/>
    <w:rsid w:val="6FE377FA"/>
    <w:rsid w:val="6FEC0000"/>
    <w:rsid w:val="702A28D7"/>
    <w:rsid w:val="70E01995"/>
    <w:rsid w:val="710A3568"/>
    <w:rsid w:val="71593474"/>
    <w:rsid w:val="726666D1"/>
    <w:rsid w:val="72805487"/>
    <w:rsid w:val="74170726"/>
    <w:rsid w:val="742064CB"/>
    <w:rsid w:val="74C50E20"/>
    <w:rsid w:val="74E219D2"/>
    <w:rsid w:val="77CC339C"/>
    <w:rsid w:val="780D731A"/>
    <w:rsid w:val="78120820"/>
    <w:rsid w:val="786D6CA9"/>
    <w:rsid w:val="78C733B9"/>
    <w:rsid w:val="79393B09"/>
    <w:rsid w:val="79697277"/>
    <w:rsid w:val="7B2C7682"/>
    <w:rsid w:val="7BD5067C"/>
    <w:rsid w:val="7C4A4A2C"/>
    <w:rsid w:val="7C9E43AD"/>
    <w:rsid w:val="7CA83501"/>
    <w:rsid w:val="7CB63289"/>
    <w:rsid w:val="7CC55E61"/>
    <w:rsid w:val="7DAC5273"/>
    <w:rsid w:val="7F3C6183"/>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4">
    <w:name w:val="Normal Indent"/>
    <w:basedOn w:val="1"/>
    <w:qFormat/>
    <w:uiPriority w:val="0"/>
    <w:pPr>
      <w:ind w:firstLine="420" w:firstLineChars="200"/>
    </w:pPr>
    <w:rPr>
      <w:rFonts w:ascii="Times New Roman" w:hAnsi="Times New Roman"/>
    </w:rPr>
  </w:style>
  <w:style w:type="paragraph" w:styleId="5">
    <w:name w:val="annotation text"/>
    <w:basedOn w:val="1"/>
    <w:link w:val="22"/>
    <w:qFormat/>
    <w:uiPriority w:val="0"/>
    <w:pPr>
      <w:jc w:val="left"/>
    </w:pPr>
  </w:style>
  <w:style w:type="paragraph" w:styleId="6">
    <w:name w:val="Body Text"/>
    <w:basedOn w:val="1"/>
    <w:qFormat/>
    <w:uiPriority w:val="99"/>
    <w:pPr>
      <w:adjustRightInd w:val="0"/>
      <w:spacing w:line="315" w:lineRule="atLeast"/>
      <w:jc w:val="left"/>
      <w:textAlignment w:val="baseline"/>
    </w:pPr>
    <w:rPr>
      <w:rFonts w:ascii="仿宋_GB2312" w:hAnsi="Times New Roman" w:eastAsia="仿宋_GB2312"/>
      <w:kern w:val="0"/>
      <w:sz w:val="28"/>
      <w:szCs w:val="20"/>
    </w:rPr>
  </w:style>
  <w:style w:type="paragraph" w:styleId="7">
    <w:name w:val="Body Text Indent"/>
    <w:basedOn w:val="1"/>
    <w:qFormat/>
    <w:uiPriority w:val="99"/>
    <w:pPr>
      <w:widowControl/>
      <w:autoSpaceDE w:val="0"/>
      <w:autoSpaceDN w:val="0"/>
      <w:snapToGrid w:val="0"/>
      <w:spacing w:before="120" w:line="400" w:lineRule="atLeast"/>
      <w:ind w:firstLine="570"/>
      <w:textAlignment w:val="bottom"/>
    </w:pPr>
    <w:rPr>
      <w:rFonts w:ascii="宋体" w:hAnsi="Times New Roman"/>
      <w:kern w:val="0"/>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annotation subject"/>
    <w:basedOn w:val="5"/>
    <w:next w:val="5"/>
    <w:link w:val="23"/>
    <w:qFormat/>
    <w:uiPriority w:val="0"/>
    <w:rPr>
      <w:b/>
      <w:bCs/>
    </w:rPr>
  </w:style>
  <w:style w:type="paragraph" w:styleId="12">
    <w:name w:val="Body Text First Indent"/>
    <w:basedOn w:val="6"/>
    <w:next w:val="1"/>
    <w:qFormat/>
    <w:uiPriority w:val="99"/>
    <w:pPr>
      <w:adjustRightInd/>
      <w:spacing w:after="120" w:line="240" w:lineRule="auto"/>
      <w:ind w:firstLine="420" w:firstLineChars="100"/>
      <w:jc w:val="both"/>
      <w:textAlignment w:val="auto"/>
    </w:pPr>
    <w:rPr>
      <w:rFonts w:ascii="Times New Roman" w:eastAsia="宋体"/>
      <w:kern w:val="2"/>
      <w:sz w:val="21"/>
    </w:rPr>
  </w:style>
  <w:style w:type="paragraph" w:styleId="13">
    <w:name w:val="Body Text First Indent 2"/>
    <w:basedOn w:val="7"/>
    <w:qFormat/>
    <w:uiPriority w:val="99"/>
    <w:pPr>
      <w:widowControl w:val="0"/>
      <w:autoSpaceDE/>
      <w:autoSpaceDN/>
      <w:snapToGrid/>
      <w:spacing w:before="0" w:after="120" w:line="240" w:lineRule="auto"/>
      <w:ind w:left="420" w:leftChars="200" w:firstLine="420" w:firstLineChars="200"/>
      <w:textAlignment w:val="auto"/>
    </w:pPr>
    <w:rPr>
      <w:rFonts w:ascii="Times New Roman"/>
      <w:kern w:val="2"/>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rPr>
  </w:style>
  <w:style w:type="character" w:styleId="18">
    <w:name w:val="page number"/>
    <w:basedOn w:val="16"/>
    <w:qFormat/>
    <w:uiPriority w:val="0"/>
  </w:style>
  <w:style w:type="character" w:styleId="19">
    <w:name w:val="annotation reference"/>
    <w:basedOn w:val="16"/>
    <w:qFormat/>
    <w:uiPriority w:val="0"/>
    <w:rPr>
      <w:sz w:val="21"/>
      <w:szCs w:val="21"/>
    </w:rPr>
  </w:style>
  <w:style w:type="paragraph" w:customStyle="1" w:styleId="20">
    <w:name w:val="列表段落1"/>
    <w:basedOn w:val="1"/>
    <w:qFormat/>
    <w:uiPriority w:val="99"/>
    <w:pPr>
      <w:ind w:firstLine="420" w:firstLineChars="200"/>
    </w:pPr>
    <w:rPr>
      <w:rFonts w:ascii="Times New Roman" w:hAnsi="Times New Roman"/>
    </w:rPr>
  </w:style>
  <w:style w:type="paragraph" w:customStyle="1" w:styleId="21">
    <w:name w:val="table-cell-line"/>
    <w:basedOn w:val="1"/>
    <w:qFormat/>
    <w:uiPriority w:val="0"/>
    <w:pPr>
      <w:widowControl/>
      <w:spacing w:before="100" w:beforeAutospacing="1" w:after="100" w:afterAutospacing="1"/>
      <w:jc w:val="left"/>
    </w:pPr>
    <w:rPr>
      <w:rFonts w:ascii="宋体" w:hAnsi="宋体"/>
      <w:kern w:val="0"/>
      <w:sz w:val="24"/>
    </w:rPr>
  </w:style>
  <w:style w:type="character" w:customStyle="1" w:styleId="22">
    <w:name w:val="Comment Text Char"/>
    <w:basedOn w:val="16"/>
    <w:link w:val="5"/>
    <w:qFormat/>
    <w:uiPriority w:val="0"/>
    <w:rPr>
      <w:rFonts w:ascii="Calibri" w:hAnsi="Calibri"/>
      <w:kern w:val="2"/>
      <w:sz w:val="21"/>
      <w:szCs w:val="24"/>
    </w:rPr>
  </w:style>
  <w:style w:type="character" w:customStyle="1" w:styleId="23">
    <w:name w:val="Comment Subject Char"/>
    <w:basedOn w:val="22"/>
    <w:link w:val="11"/>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9935</Words>
  <Characters>10256</Characters>
  <Lines>78</Lines>
  <Paragraphs>22</Paragraphs>
  <TotalTime>74</TotalTime>
  <ScaleCrop>false</ScaleCrop>
  <LinksUpToDate>false</LinksUpToDate>
  <CharactersWithSpaces>10661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2022-11-10T03:52:00Z</dcterms:created>
  <dc:creator>ฅK_Kฅ</dc:creator>
  <cp:lastModifiedBy>123</cp:lastModifiedBy>
  <cp:lastPrinted>2023-01-16T01:53:30Z</cp:lastPrinted>
  <dcterms:modified xsi:type="dcterms:W3CDTF">2023-01-16T02:44:33Z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57380AFE0E9E4760819E5492D3A6351C</vt:lpwstr>
  </property>
</Properties>
</file>